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  <w:highlight w:val="none"/>
        </w:rPr>
      </w:pPr>
    </w:p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  <w:highlight w:val="none"/>
        </w:rPr>
      </w:pPr>
    </w:p>
    <w:p>
      <w:pPr>
        <w:pStyle w:val="7"/>
        <w:tabs>
          <w:tab w:val="left" w:pos="8280"/>
        </w:tabs>
        <w:spacing w:line="360" w:lineRule="auto"/>
        <w:outlineLvl w:val="0"/>
        <w:rPr>
          <w:rFonts w:hint="default" w:ascii="仿宋_GB2312" w:hAnsi="宋体" w:eastAsia="仿宋_GB2312" w:cs="Times New Roman"/>
          <w:b/>
          <w:bCs/>
          <w:color w:val="000000"/>
          <w:kern w:val="2"/>
          <w:sz w:val="48"/>
          <w:szCs w:val="48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highlight w:val="none"/>
          <w:lang w:val="en-US" w:eastAsia="zh-CN" w:bidi="ar-SA"/>
        </w:rPr>
        <w:t>江苏张家港农村商业银行股份有限公司</w:t>
      </w:r>
    </w:p>
    <w:p>
      <w:pPr>
        <w:pStyle w:val="7"/>
        <w:tabs>
          <w:tab w:val="left" w:pos="8280"/>
        </w:tabs>
        <w:spacing w:line="360" w:lineRule="auto"/>
        <w:outlineLvl w:val="0"/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highlight w:val="none"/>
          <w:u w:val="single"/>
          <w:lang w:val="en-US" w:eastAsia="zh-CN" w:bidi="ar-SA"/>
        </w:rPr>
        <w:t>文件摆渡系统项目</w:t>
      </w: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highlight w:val="none"/>
          <w:lang w:val="en-US" w:eastAsia="zh-CN" w:bidi="ar-SA"/>
        </w:rPr>
        <w:t>供应商征集公告</w:t>
      </w: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highlight w:val="none"/>
          <w:lang w:val="en-US" w:eastAsia="zh-CN" w:bidi="ar-SA"/>
        </w:rPr>
      </w:pPr>
    </w:p>
    <w:p>
      <w:pPr>
        <w:tabs>
          <w:tab w:val="left" w:pos="8280"/>
        </w:tabs>
        <w:spacing w:line="480" w:lineRule="auto"/>
        <w:jc w:val="center"/>
        <w:outlineLvl w:val="0"/>
        <w:rPr>
          <w:rFonts w:hint="default" w:ascii="仿宋_GB2312" w:hAnsi="宋体" w:eastAsia="仿宋_GB2312" w:cs="Times New Roman"/>
          <w:b/>
          <w:bCs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highlight w:val="none"/>
          <w:lang w:val="en-US" w:eastAsia="zh-CN" w:bidi="ar-SA"/>
        </w:rPr>
        <w:t>公告编号：ZJGRCB2020</w:t>
      </w:r>
      <w:r>
        <w:rPr>
          <w:rFonts w:hint="eastAsia" w:ascii="仿宋_GB2312" w:hAnsi="宋体" w:eastAsia="仿宋_GB2312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0309</w:t>
      </w:r>
    </w:p>
    <w:p>
      <w:pPr>
        <w:rPr>
          <w:rFonts w:ascii="宋体" w:hAnsi="宋体"/>
          <w:highlight w:val="none"/>
        </w:rPr>
      </w:pPr>
    </w:p>
    <w:p>
      <w:pPr>
        <w:rPr>
          <w:rFonts w:ascii="宋体" w:hAnsi="宋体"/>
          <w:highlight w:val="none"/>
        </w:rPr>
      </w:pPr>
    </w:p>
    <w:p>
      <w:pPr>
        <w:rPr>
          <w:rFonts w:ascii="宋体" w:hAnsi="宋体"/>
          <w:highlight w:val="none"/>
        </w:rPr>
      </w:pPr>
    </w:p>
    <w:p>
      <w:pPr>
        <w:rPr>
          <w:rFonts w:ascii="宋体" w:hAnsi="宋体"/>
          <w:highlight w:val="none"/>
        </w:rPr>
      </w:pPr>
    </w:p>
    <w:p>
      <w:pPr>
        <w:rPr>
          <w:rFonts w:ascii="宋体" w:hAnsi="宋体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  <w:highlight w:val="none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  <w:highlight w:val="none"/>
        </w:rPr>
      </w:pPr>
    </w:p>
    <w:p>
      <w:pPr>
        <w:tabs>
          <w:tab w:val="left" w:pos="8280"/>
        </w:tabs>
        <w:jc w:val="center"/>
        <w:outlineLvl w:val="0"/>
        <w:rPr>
          <w:rFonts w:ascii="仿宋_GB2312" w:hAnsi="宋体" w:eastAsia="仿宋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highlight w:val="none"/>
        </w:rPr>
        <w:t>江苏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highlight w:val="none"/>
          <w:lang w:eastAsia="zh-CN"/>
        </w:rPr>
        <w:t>张家港农村商业银行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highlight w:val="none"/>
        </w:rPr>
        <w:t>股份有限公司</w:t>
      </w:r>
    </w:p>
    <w:p>
      <w:pPr>
        <w:pStyle w:val="21"/>
        <w:tabs>
          <w:tab w:val="left" w:pos="8280"/>
        </w:tabs>
        <w:jc w:val="center"/>
        <w:outlineLvl w:val="0"/>
        <w:rPr>
          <w:rFonts w:ascii="仿宋_GB2312" w:hAnsi="宋体" w:eastAsia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</w:rPr>
        <w:t>二</w:t>
      </w:r>
      <w:r>
        <w:rPr>
          <w:rFonts w:hint="eastAsia" w:ascii="仿宋_GB2312" w:hAnsi="宋体" w:eastAsia="仿宋_GB2312" w:cs="宋体"/>
          <w:b/>
          <w:bCs/>
          <w:sz w:val="32"/>
          <w:szCs w:val="32"/>
          <w:highlight w:val="none"/>
        </w:rPr>
        <w:t>〇二〇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</w:rPr>
        <w:t>月</w:t>
      </w:r>
    </w:p>
    <w:p>
      <w:pPr>
        <w:autoSpaceDE w:val="0"/>
        <w:autoSpaceDN w:val="0"/>
        <w:adjustRightInd w:val="0"/>
        <w:spacing w:afterLines="100" w:line="640" w:lineRule="atLeast"/>
        <w:jc w:val="center"/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/>
          <w:b/>
          <w:bCs/>
          <w:snapToGrid w:val="0"/>
          <w:color w:val="000000"/>
          <w:sz w:val="32"/>
          <w:highlight w:val="none"/>
        </w:rPr>
        <w:br w:type="page"/>
      </w:r>
      <w:bookmarkStart w:id="0" w:name="_GoBack"/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第一部分  公告函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张家港农商银行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为解决本行员工在不同网络之间、不同终端之间数据传输，使用传统存储介质造成木马、病毒等的传播感染，以及由此带来的数据泄露及信息安全问题，计划建设“数据摆渡系统”，统一管理全行的数据传输，实现对木马、病毒的查杀，敏感信息的审批、留痕，以及事后追查审计的功能。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现就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“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文件摆渡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系统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项目向社会公开征集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有意向的供应商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。</w:t>
      </w:r>
    </w:p>
    <w:p>
      <w:pPr>
        <w:tabs>
          <w:tab w:val="left" w:pos="8280"/>
        </w:tabs>
        <w:outlineLvl w:val="1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1.公告编号：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eastAsia="zh-CN"/>
        </w:rPr>
        <w:t>ZJGRCB2020</w:t>
      </w:r>
      <w:r>
        <w:rPr>
          <w:rFonts w:hint="eastAsia" w:eastAsia="仿宋" w:cs="Times New Roman"/>
          <w:color w:val="000000"/>
          <w:sz w:val="28"/>
          <w:szCs w:val="28"/>
          <w:highlight w:val="none"/>
          <w:lang w:val="en-US" w:eastAsia="zh-CN"/>
        </w:rPr>
        <w:t>0309</w:t>
      </w:r>
    </w:p>
    <w:p>
      <w:pPr>
        <w:tabs>
          <w:tab w:val="left" w:pos="8280"/>
        </w:tabs>
        <w:outlineLvl w:val="1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2.公告人：江苏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股份有限公司</w:t>
      </w:r>
    </w:p>
    <w:p>
      <w:pPr>
        <w:widowControl/>
        <w:jc w:val="left"/>
        <w:outlineLvl w:val="1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3.项目实施地点：江苏省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  <w:t>66号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outlineLvl w:val="1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4.公告开始时间：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single"/>
        </w:rPr>
        <w:t>北京时间2020年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single"/>
        </w:rPr>
        <w:t>月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single"/>
        </w:rPr>
        <w:t>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outlineLvl w:val="1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5.公告截止时间：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single"/>
        </w:rPr>
        <w:t>北京时间2020年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single"/>
        </w:rPr>
        <w:t>3月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single"/>
        </w:rPr>
        <w:t>日17时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outlineLvl w:val="1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6.公告人联系方式：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股份有限公司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地址：江苏省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  <w:t>66号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邮政编码：215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  <w:t>600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联系人：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eastAsia="zh-CN"/>
        </w:rPr>
        <w:t>陶志琦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联系电话：0512-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t>35021007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eastAsia="zh-CN"/>
        </w:rPr>
        <w:t>，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t>18960080975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邮箱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：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fldChar w:fldCharType="begin"/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instrText xml:space="preserve"> HYPERLINK "mailto:403360785@qq.com" </w:instrText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fldChar w:fldCharType="separate"/>
      </w:r>
      <w:r>
        <w:rPr>
          <w:rStyle w:val="12"/>
          <w:rFonts w:hint="eastAsia" w:eastAsia="仿宋" w:cs="Times New Roman"/>
          <w:snapToGrid w:val="0"/>
          <w:sz w:val="28"/>
          <w:highlight w:val="none"/>
          <w:lang w:val="en-US" w:eastAsia="zh-CN"/>
        </w:rPr>
        <w:t>403360785</w:t>
      </w:r>
      <w:r>
        <w:rPr>
          <w:rStyle w:val="12"/>
          <w:rFonts w:hint="default" w:ascii="Times New Roman" w:hAnsi="Times New Roman" w:eastAsia="仿宋" w:cs="Times New Roman"/>
          <w:snapToGrid w:val="0"/>
          <w:sz w:val="28"/>
          <w:highlight w:val="none"/>
          <w:lang w:val="en-US" w:eastAsia="zh-CN"/>
        </w:rPr>
        <w:t>@qq.com</w:t>
      </w: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default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lang w:val="en-US" w:eastAsia="zh-CN"/>
        </w:rPr>
        <w:t>项目需求联系人员：张晓艳，15151596133</w:t>
      </w:r>
    </w:p>
    <w:p>
      <w:pPr>
        <w:widowControl/>
        <w:jc w:val="both"/>
        <w:outlineLvl w:val="1"/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t>7、详细公告文件请下载附件。</w:t>
      </w:r>
      <w:bookmarkEnd w:id="0"/>
      <w:r>
        <w:rPr>
          <w:rFonts w:hint="default" w:ascii="Times New Roman" w:hAnsi="Times New Roman" w:eastAsia="仿宋" w:cs="Times New Roman"/>
          <w:bCs/>
          <w:snapToGrid w:val="0"/>
          <w:color w:val="000000"/>
          <w:sz w:val="28"/>
          <w:szCs w:val="28"/>
          <w:highlight w:val="none"/>
        </w:rPr>
        <w:br w:type="page"/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highlight w:val="none"/>
          <w:lang w:val="en-US" w:eastAsia="zh-CN"/>
        </w:rPr>
        <w:t>项目内容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一、项目名称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文件摆渡系统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项目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二、项目</w:t>
      </w: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概述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default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为解决本行员工在不同网络之间、不同终端之间数据传输，使用传统存储介质造成木马、病毒等的传播感染，以及由此带来的数据泄露及信息安全问题，计划建设“数据摆渡系统”，统一管理全行的数据传输，实现对木马、病毒的查杀，敏感信息的审批、留痕，以及事后追查审计的功能。</w:t>
      </w:r>
    </w:p>
    <w:p>
      <w:pPr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项目需求</w:t>
      </w:r>
    </w:p>
    <w:p>
      <w:p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1、设备要求</w:t>
      </w:r>
    </w:p>
    <w:tbl>
      <w:tblPr>
        <w:tblStyle w:val="13"/>
        <w:tblW w:w="8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763"/>
        <w:gridCol w:w="2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4763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规格</w:t>
            </w:r>
          </w:p>
        </w:tc>
        <w:tc>
          <w:tcPr>
            <w:tcW w:w="2350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安全数据摆渡系统设备</w:t>
            </w:r>
          </w:p>
        </w:tc>
        <w:tc>
          <w:tcPr>
            <w:tcW w:w="4763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CPU：6核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内存：32G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硬盘：240G SSD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硬盘：4*2T SAS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网卡：2个千兆网口、2个万兆网口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电源：冗余电源，热拔插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RAID控制器：硬RAID卡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管理卡：配置独立远程管理卡，支持远程监控图形界面，可实现远程对服务器的完全控制，包括远程的开关机、重启等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其他：含通过导轨，3年全免现场质保，(7X24)4小时上门服务，投标人交货时必须提供服务原厂3年服务质保证明文件原件或符合质保年限的质保卡</w:t>
            </w:r>
          </w:p>
        </w:tc>
        <w:tc>
          <w:tcPr>
            <w:tcW w:w="2350" w:type="dxa"/>
            <w:vAlign w:val="top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2台</w:t>
            </w:r>
          </w:p>
        </w:tc>
      </w:tr>
    </w:tbl>
    <w:p>
      <w:pPr>
        <w:rPr>
          <w:rFonts w:hint="default"/>
          <w:highlight w:val="none"/>
        </w:rPr>
      </w:pPr>
    </w:p>
    <w:p>
      <w:pPr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2、功能要求</w:t>
      </w:r>
    </w:p>
    <w:tbl>
      <w:tblPr>
        <w:tblStyle w:val="13"/>
        <w:tblW w:w="8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9"/>
        <w:gridCol w:w="6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eastAsia="zh-CN"/>
              </w:rPr>
              <w:t>指标项目</w:t>
            </w:r>
          </w:p>
        </w:tc>
        <w:tc>
          <w:tcPr>
            <w:tcW w:w="6439" w:type="dxa"/>
            <w:vAlign w:val="top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eastAsia="zh-CN"/>
              </w:rPr>
              <w:t>要求描述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产品部署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支持双击热备部署，当主机出现故障时，备机自动接替主机的工作，不影响系统使用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产品兼容性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兼容IE、chrome、Firefox等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兼容windows、MAC、linux、智能手机（安卓、苹果）等操作系统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区域划分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支持3个及以上不同区域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不同区域间网络隔离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最大并发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支持同时在线人数大于3000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支持用户操作并发大于1000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系统运行状态监测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支持监测基本设备信息、cpu、内存、磁盘等使用情况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支持统计用户认证次数、文件摆渡频率、磁盘使用情况的趋势及预测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支持图形化展示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不同用户间数据摆渡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支持不同用户间的文件摆渡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支持控制文件分享区域、用户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支持分享时用户查找后显示用户所在部门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支持不允许直接选择部门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用户属性可控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支持用户状态修改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支持用户过期时间设置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支持用户登录范围设置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支持用户磁盘容量设置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组织架构设置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支持多级组织架构、用户导入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支持AD或LDAP同步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支持查看在线人员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安全访问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支持https加密协议的安全请求通道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支持双重认证登录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认证策略设置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支持密码重置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支持首次登陆修改密码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支持密码复杂度设置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支持密码登陆锁定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支持验证码验证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支持定期更新密码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详细审计信息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支持查看用户认证信息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支持查看文件交换信息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支持查看操作日志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支持查看病毒感染信息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支持查看文档追踪审计信息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支持查看敏感文件审计信息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文件摆渡配置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支持配置最大上传文件大小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支持配置最大上传文件数量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支持文件分享区域设置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支持配置文件分享天数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支持取消分享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数据摆渡审批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支持文件上传审批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支持文件分享审批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支持一级或多级审批或不审批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支持自定义审批流程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支持浏览器、客户端、手机端审批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支持审批提醒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管理员账户、权限配置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支持新增管理员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支持设置管理员模块权限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系统运维功能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支持查看在线人员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支持开启或关闭系统SSH服务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支持CPU、内存、磁盘等预警策略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支持配置文件清理策略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支持时间同步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用户组功能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支持管理员可自定义用户组、配置审批流程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支持用户添加常用用户组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文件管理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支持用户文件管理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支持按空间使用率排序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支持新建公共文件夹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支持配置公共文件夹权限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支持文件清理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数据安全控制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支持配置用户在各区域中的上传、分享、下载等权限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支持配置文件上传的区域、范围、时间等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支持配置文件分享的对象、范围、时间等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防病毒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支持木马查杀功能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支持定期离线更新病毒库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数据防泄漏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支持自定义采集文件的范围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支持手动采集和定时自动采集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支持手动分类和智能分类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支持自定义敏感数据分类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支持自定义关键字分类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支持自定义文档追踪策略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客户端功能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支持客户端上传、下载文件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支持客户端分享文件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支持客户端审批功能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支持客户端断点续传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在线编辑、预览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支持在线编辑</w:t>
            </w:r>
          </w:p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支持在线预览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界面</w:t>
            </w:r>
          </w:p>
        </w:tc>
        <w:tc>
          <w:tcPr>
            <w:tcW w:w="6439" w:type="dxa"/>
            <w:vAlign w:val="top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可根据采购人要求做个性化设计</w:t>
            </w:r>
          </w:p>
        </w:tc>
      </w:tr>
    </w:tbl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27"/>
        <w:jc w:val="left"/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rtlGutter w:val="0"/>
          <w:docGrid w:type="lines" w:linePitch="312" w:charSpace="0"/>
        </w:sect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outlineLvl w:val="0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三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lang w:val="en-US" w:eastAsia="zh-CN"/>
        </w:rPr>
        <w:t>公告说明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一、定义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1、“公告人”系指组织本次项目的机构：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江苏张家港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农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银行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股份有限公司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2、“意向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”系指满足本公告文件要求并有意向承担本项目建设的法人单位。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3、“设备（系统）”系指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4、“服务”系指公告文件规定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须承担的在选型过程中的技术服务、运输、安装调试、人员培训、售后服务和其他类似的义务。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5、“公告文件”系指本文件及其附件，如公告人对公告文件及其附件进行有效的修改或澄清，则该修改和澄清构成公告文件不可分割的一部分。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420"/>
        <w:jc w:val="left"/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napToGrid w:val="0"/>
          <w:sz w:val="28"/>
          <w:szCs w:val="28"/>
          <w:highlight w:val="none"/>
        </w:rPr>
        <w:t>6、“技术方案”系指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意向供应商</w:t>
      </w:r>
      <w:r>
        <w:rPr>
          <w:rFonts w:hint="eastAsia" w:ascii="仿宋" w:hAnsi="仿宋" w:eastAsia="仿宋"/>
          <w:snapToGrid w:val="0"/>
          <w:sz w:val="28"/>
          <w:szCs w:val="28"/>
          <w:highlight w:val="none"/>
        </w:rPr>
        <w:t>按照公告文件要求编写，并向公告人递交的有效的文字说明、表格、图表等文件。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二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、</w:t>
      </w:r>
      <w:r>
        <w:rPr>
          <w:rStyle w:val="11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意向供应商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资质要求</w:t>
      </w:r>
    </w:p>
    <w:p>
      <w:pPr>
        <w:tabs>
          <w:tab w:val="left" w:pos="567"/>
        </w:tabs>
        <w:wordWrap/>
        <w:adjustRightInd/>
        <w:snapToGrid/>
        <w:ind w:firstLine="560" w:firstLineChars="200"/>
        <w:jc w:val="left"/>
        <w:textAlignment w:val="auto"/>
        <w:rPr>
          <w:rFonts w:ascii="仿宋" w:hAnsi="仿宋" w:eastAsia="仿宋"/>
          <w:snapToGrid w:val="0"/>
          <w:color w:val="C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  <w:t>（一）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中华人民共和国境内注册，具有独立承担民事责任的能力，</w:t>
      </w:r>
      <w:r>
        <w:rPr>
          <w:rFonts w:hint="eastAsia" w:ascii="仿宋" w:hAnsi="仿宋" w:eastAsia="仿宋"/>
          <w:color w:val="C00000"/>
          <w:sz w:val="28"/>
          <w:szCs w:val="28"/>
          <w:highlight w:val="none"/>
        </w:rPr>
        <w:t>注册资本要求不少于</w:t>
      </w:r>
      <w:r>
        <w:rPr>
          <w:rFonts w:hint="eastAsia" w:ascii="仿宋" w:hAnsi="仿宋" w:eastAsia="仿宋"/>
          <w:color w:val="C00000"/>
          <w:sz w:val="28"/>
          <w:szCs w:val="28"/>
          <w:highlight w:val="none"/>
          <w:lang w:val="en-US" w:eastAsia="zh-CN"/>
        </w:rPr>
        <w:t>1</w:t>
      </w:r>
      <w:r>
        <w:rPr>
          <w:rFonts w:ascii="仿宋" w:hAnsi="仿宋" w:eastAsia="仿宋"/>
          <w:color w:val="C00000"/>
          <w:sz w:val="28"/>
          <w:szCs w:val="28"/>
          <w:highlight w:val="none"/>
        </w:rPr>
        <w:t>00</w:t>
      </w:r>
      <w:r>
        <w:rPr>
          <w:rFonts w:hint="eastAsia" w:ascii="仿宋" w:hAnsi="仿宋" w:eastAsia="仿宋"/>
          <w:color w:val="C00000"/>
          <w:sz w:val="28"/>
          <w:szCs w:val="28"/>
          <w:highlight w:val="none"/>
        </w:rPr>
        <w:t>万元人民币（或等值外币），且具有良好的技术力量、商业信誉和售后服务体系。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意向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供应商近三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以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来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应具有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lang w:eastAsia="zh-CN"/>
        </w:rPr>
        <w:t>同类项目实施案例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（提供案例合同复印件等证明材料）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。</w:t>
      </w:r>
    </w:p>
    <w:p>
      <w:pPr>
        <w:tabs>
          <w:tab w:val="left" w:pos="0"/>
        </w:tabs>
        <w:wordWrap/>
        <w:adjustRightInd/>
        <w:snapToGrid/>
        <w:ind w:firstLine="560" w:firstLineChars="200"/>
        <w:jc w:val="left"/>
        <w:textAlignment w:val="auto"/>
        <w:rPr>
          <w:rFonts w:ascii="仿宋" w:hAnsi="仿宋" w:eastAsia="仿宋"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（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highlight w:val="none"/>
        </w:rPr>
        <w:t>意向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必须具有良好的资信和商业信誉，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近三年内未出现重大违法违规记录，不处于被责令停产、停业，财产被接管、冻结、破产等非正常经营状态，未被列入失信被执行人名单、重大税收违法案件当事人名单、政府采购严重违法失信行为记录名单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eastAsia="zh-CN"/>
        </w:rPr>
        <w:t>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highlight w:val="none"/>
        </w:rPr>
      </w:pPr>
      <w:r>
        <w:rPr>
          <w:rStyle w:val="11"/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三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、意向供应商报名需提交资料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  <w:t>（一）</w:t>
      </w: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  <w:t>《供应商入库申请表》；（按附件“02《供应商入库申请表》”要求填写并提供相关材料）</w:t>
      </w:r>
    </w:p>
    <w:p>
      <w:pPr>
        <w:wordWrap/>
        <w:autoSpaceDE w:val="0"/>
        <w:autoSpaceDN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“技术方案”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指意向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供应商根据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公告文件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项目需求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，向公告人递交的有效的文字说明、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  <w:lang w:eastAsia="zh-CN"/>
        </w:rPr>
        <w:t>方案、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highlight w:val="none"/>
        </w:rPr>
        <w:t>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sz w:val="28"/>
          <w:szCs w:val="28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C00000"/>
          <w:spacing w:val="0"/>
          <w:kern w:val="0"/>
          <w:sz w:val="28"/>
          <w:szCs w:val="28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1、上述资料提供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C00000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加盖公章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的原件、复印件或扫描件均可；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1120" w:firstLineChars="400"/>
        <w:jc w:val="left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sz w:val="28"/>
          <w:szCs w:val="28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2、供应商提交的报名材料并不视为采购人资格审核合格及邀请</w:t>
      </w: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参与后续采购活动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highlight w:val="none"/>
          <w:u w:val="single"/>
          <w:lang w:val="en-US" w:eastAsia="zh-CN"/>
        </w:rPr>
        <w:t>的依据。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  <w:highlight w:val="none"/>
        </w:rPr>
      </w:pPr>
      <w:r>
        <w:rPr>
          <w:rStyle w:val="11"/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四</w:t>
      </w:r>
      <w:r>
        <w:rPr>
          <w:rStyle w:val="11"/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、意向供应商提交材料的方式及时间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供应商应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于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</w:rPr>
        <w:t>年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</w:rPr>
        <w:t>月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</w:rPr>
        <w:t>日1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highlight w:val="none"/>
          <w:u w:val="single"/>
        </w:rPr>
        <w:t>7:00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u w:val="none"/>
        </w:rPr>
        <w:t>前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highlight w:val="none"/>
        </w:rPr>
        <w:t>将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highlight w:val="none"/>
          <w:lang w:eastAsia="zh-CN"/>
        </w:rPr>
        <w:t>报名材料及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highlight w:val="none"/>
        </w:rPr>
        <w:t>交流文档等材料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highlight w:val="none"/>
          <w:lang w:eastAsia="zh-CN"/>
        </w:rPr>
        <w:t>（盖章）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打包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发送至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联系人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highlight w:val="none"/>
        </w:rPr>
        <w:t>邮箱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，并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highlight w:val="none"/>
        </w:rPr>
        <w:t>主动联系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本公告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联系人协商安排时间进行现场讲解及</w:t>
      </w:r>
      <w:r>
        <w:rPr>
          <w:rFonts w:ascii="仿宋" w:hAnsi="仿宋" w:eastAsia="仿宋"/>
          <w:snapToGrid w:val="0"/>
          <w:color w:val="000000"/>
          <w:sz w:val="28"/>
          <w:szCs w:val="28"/>
          <w:highlight w:val="none"/>
        </w:rPr>
        <w:t>答疑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,公告人将根据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资格审核及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讲解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</w:rPr>
        <w:t>答疑情况确定入围厂商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highlight w:val="none"/>
          <w:lang w:eastAsia="zh-CN"/>
        </w:rPr>
        <w:t>参加本项目后续采购活动。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Style w:val="11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五、交流费用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公告人提供选型交流的办公场所，测试用环境。此外，意向供应商应自行承担与参与交流、测试、选型的有关的全部费用，公告人在任何情况下无义务和责任承担上述费用。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outlineLvl w:val="1"/>
        <w:rPr>
          <w:rStyle w:val="11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</w:pPr>
      <w:r>
        <w:rPr>
          <w:rStyle w:val="11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/>
        </w:rPr>
        <w:t>六、公告文件的解释及咨询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本公告文件的解释权属公告人。对本次公告有任何询问，请与张家港农商银行本次公告联系人联系。</w:t>
      </w:r>
    </w:p>
    <w:p>
      <w:pPr>
        <w:rPr>
          <w:highlight w:val="none"/>
        </w:rPr>
      </w:pPr>
    </w:p>
    <w:p>
      <w:pPr>
        <w:rPr>
          <w:rFonts w:ascii="仿宋" w:hAnsi="仿宋" w:eastAsia="仿宋"/>
          <w:sz w:val="28"/>
          <w:szCs w:val="28"/>
          <w:highlight w:val="none"/>
        </w:rPr>
      </w:pPr>
    </w:p>
    <w:p>
      <w:pPr>
        <w:rPr>
          <w:rFonts w:ascii="仿宋" w:hAnsi="仿宋" w:eastAsia="仿宋"/>
          <w:sz w:val="28"/>
          <w:szCs w:val="28"/>
          <w:highlight w:val="none"/>
        </w:rPr>
      </w:pPr>
    </w:p>
    <w:p>
      <w:pPr>
        <w:tabs>
          <w:tab w:val="left" w:pos="8280"/>
        </w:tabs>
        <w:jc w:val="center"/>
        <w:outlineLvl w:val="0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 xml:space="preserve">                       江苏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农村商业银行股份有限公司</w:t>
      </w:r>
    </w:p>
    <w:p>
      <w:pPr>
        <w:tabs>
          <w:tab w:val="left" w:pos="8280"/>
        </w:tabs>
        <w:jc w:val="center"/>
        <w:outlineLvl w:val="0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 xml:space="preserve">                      二〇二〇年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eastAsia="zh-CN"/>
        </w:rPr>
        <w:t>三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pStyle w:val="27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1">
    <w:nsid w:val="00000009"/>
    <w:multiLevelType w:val="singleLevel"/>
    <w:tmpl w:val="0000000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7A96398"/>
    <w:rsid w:val="18E62796"/>
    <w:rsid w:val="20E31253"/>
    <w:rsid w:val="237F52BF"/>
    <w:rsid w:val="2DB72926"/>
    <w:rsid w:val="32052B02"/>
    <w:rsid w:val="34B2581B"/>
    <w:rsid w:val="47777897"/>
    <w:rsid w:val="4F2246B7"/>
    <w:rsid w:val="665C4251"/>
    <w:rsid w:val="700C6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1134"/>
      </w:tabs>
      <w:adjustRightInd w:val="0"/>
      <w:snapToGrid w:val="0"/>
      <w:spacing w:beforeLines="50" w:afterLines="50"/>
      <w:jc w:val="center"/>
      <w:outlineLvl w:val="0"/>
    </w:pPr>
    <w:rPr>
      <w:rFonts w:ascii="宋体" w:hAnsi="宋体"/>
      <w:b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3" w:lineRule="auto"/>
      <w:jc w:val="center"/>
      <w:outlineLvl w:val="2"/>
    </w:pPr>
    <w:rPr>
      <w:rFonts w:ascii="Times New Roman" w:hAnsi="Times New Roman" w:eastAsia="宋体" w:cs="Times New Roman"/>
      <w:b/>
      <w:sz w:val="32"/>
      <w:szCs w:val="20"/>
    </w:rPr>
  </w:style>
  <w:style w:type="paragraph" w:styleId="5">
    <w:name w:val="heading 4"/>
    <w:basedOn w:val="1"/>
    <w:next w:val="1"/>
    <w:link w:val="16"/>
    <w:qFormat/>
    <w:uiPriority w:val="0"/>
    <w:pPr>
      <w:keepNext/>
      <w:keepLines/>
      <w:spacing w:before="280" w:after="290" w:line="374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10">
    <w:name w:val="Default Paragraph Font"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Number"/>
    <w:basedOn w:val="1"/>
    <w:qFormat/>
    <w:uiPriority w:val="0"/>
    <w:pPr>
      <w:tabs>
        <w:tab w:val="left" w:pos="360"/>
      </w:tabs>
      <w:ind w:left="360" w:hanging="360"/>
    </w:pPr>
  </w:style>
  <w:style w:type="paragraph" w:styleId="7">
    <w:name w:val="Body Text"/>
    <w:basedOn w:val="1"/>
    <w:link w:val="19"/>
    <w:qFormat/>
    <w:uiPriority w:val="0"/>
    <w:pPr>
      <w:spacing w:line="480" w:lineRule="auto"/>
      <w:jc w:val="center"/>
    </w:pPr>
    <w:rPr>
      <w:rFonts w:ascii="宋体" w:hAnsi="Times New Roman" w:eastAsia="楷体_GB2312" w:cs="Times New Roman"/>
      <w:b/>
      <w:sz w:val="72"/>
      <w:szCs w:val="20"/>
    </w:rPr>
  </w:style>
  <w:style w:type="paragraph" w:styleId="8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9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标题 2 Char"/>
    <w:basedOn w:val="10"/>
    <w:link w:val="3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5">
    <w:name w:val="标题 3 Char"/>
    <w:basedOn w:val="10"/>
    <w:link w:val="4"/>
    <w:semiHidden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16">
    <w:name w:val="标题 4 Char"/>
    <w:basedOn w:val="10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17">
    <w:name w:val="文档结构图 Char"/>
    <w:basedOn w:val="10"/>
    <w:link w:val="18"/>
    <w:semiHidden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8">
    <w:name w:val="Document Map"/>
    <w:basedOn w:val="1"/>
    <w:link w:val="17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19">
    <w:name w:val="正文文本 Char"/>
    <w:basedOn w:val="10"/>
    <w:link w:val="7"/>
    <w:semiHidden/>
    <w:qFormat/>
    <w:uiPriority w:val="0"/>
    <w:rPr>
      <w:rFonts w:ascii="宋体" w:hAnsi="Times New Roman" w:eastAsia="楷体_GB2312" w:cs="Times New Roman"/>
      <w:b/>
      <w:sz w:val="72"/>
      <w:szCs w:val="20"/>
    </w:rPr>
  </w:style>
  <w:style w:type="character" w:customStyle="1" w:styleId="20">
    <w:name w:val="日期 Char"/>
    <w:basedOn w:val="10"/>
    <w:link w:val="21"/>
    <w:semiHidden/>
    <w:uiPriority w:val="0"/>
    <w:rPr>
      <w:rFonts w:ascii="Times New Roman" w:hAnsi="Times New Roman" w:eastAsia="楷体_GB2312" w:cs="Times New Roman"/>
      <w:szCs w:val="20"/>
    </w:rPr>
  </w:style>
  <w:style w:type="paragraph" w:customStyle="1" w:styleId="21">
    <w:name w:val="Date"/>
    <w:basedOn w:val="1"/>
    <w:next w:val="1"/>
    <w:link w:val="20"/>
    <w:qFormat/>
    <w:uiPriority w:val="0"/>
    <w:rPr>
      <w:rFonts w:ascii="Times New Roman" w:hAnsi="Times New Roman" w:eastAsia="楷体_GB2312" w:cs="Times New Roman"/>
      <w:szCs w:val="20"/>
    </w:rPr>
  </w:style>
  <w:style w:type="character" w:customStyle="1" w:styleId="22">
    <w:name w:val="页脚 Char"/>
    <w:basedOn w:val="10"/>
    <w:link w:val="8"/>
    <w:semiHidden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3">
    <w:name w:val="页眉 Char"/>
    <w:basedOn w:val="10"/>
    <w:link w:val="9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</w:style>
  <w:style w:type="paragraph" w:customStyle="1" w:styleId="25">
    <w:name w:val="三级标题"/>
    <w:basedOn w:val="1"/>
    <w:next w:val="26"/>
    <w:uiPriority w:val="0"/>
    <w:pPr>
      <w:tabs>
        <w:tab w:val="left" w:pos="360"/>
        <w:tab w:val="left" w:pos="1247"/>
      </w:tabs>
      <w:spacing w:before="60" w:after="60"/>
      <w:ind w:left="360" w:hanging="360"/>
      <w:outlineLvl w:val="2"/>
    </w:pPr>
    <w:rPr>
      <w:b/>
      <w:sz w:val="28"/>
    </w:rPr>
  </w:style>
  <w:style w:type="paragraph" w:customStyle="1" w:styleId="26">
    <w:name w:val="正式正文"/>
    <w:basedOn w:val="1"/>
    <w:qFormat/>
    <w:uiPriority w:val="0"/>
    <w:pPr>
      <w:spacing w:line="312" w:lineRule="auto"/>
      <w:ind w:firstLine="200" w:firstLineChars="200"/>
    </w:pPr>
    <w:rPr>
      <w:sz w:val="24"/>
    </w:rPr>
  </w:style>
  <w:style w:type="paragraph" w:customStyle="1" w:styleId="27">
    <w:name w:val="二级标题"/>
    <w:basedOn w:val="1"/>
    <w:next w:val="26"/>
    <w:qFormat/>
    <w:uiPriority w:val="0"/>
    <w:pPr>
      <w:numPr>
        <w:ilvl w:val="1"/>
        <w:numId w:val="1"/>
      </w:numPr>
      <w:tabs>
        <w:tab w:val="left" w:pos="454"/>
        <w:tab w:val="left" w:pos="1260"/>
      </w:tabs>
      <w:spacing w:before="60" w:after="60"/>
      <w:outlineLvl w:val="1"/>
    </w:pPr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447</Words>
  <Characters>2553</Characters>
  <Lines>21</Lines>
  <Paragraphs>5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2020-01-08T00:28:00Z</dcterms:created>
  <dc:creator>唐险峰</dc:creator>
  <cp:lastModifiedBy>zrc</cp:lastModifiedBy>
  <dcterms:modified xsi:type="dcterms:W3CDTF">2020-03-11T08:01:27Z</dcterms:modified>
  <dc:title>QYJ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