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b/>
                <w:color w:val="000000"/>
                <w:sz w:val="40"/>
              </w:rPr>
              <w:t>“金港湾惠享（私募版）1914期”定期报告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color w:val="000000"/>
                <w:sz w:val="20"/>
              </w:rPr>
              <w:t>产品托管人：</w:t>
            </w:r>
            <w:r>
              <w:rPr>
                <w:rFonts w:hint="eastAsia"/>
                <w:color w:val="000000"/>
                <w:sz w:val="20"/>
                <w:lang w:eastAsia="zh-CN"/>
              </w:rPr>
              <w:t>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金港湾惠享（私募版）1914期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HXSM1914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C1115619A000066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私募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500,000,000.00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0"/>
                <w:szCs w:val="22"/>
                <w:lang w:val="en-US" w:eastAsia="zh-CN"/>
              </w:rPr>
              <w:t>1.0415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2"/>
              </w:rPr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1.0415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  <w:lang w:val="en-US" w:eastAsia="zh-CN"/>
              </w:rPr>
              <w:t>4.58%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519,448,772.18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98.72%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244,808,965.83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46.53%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49,704,499.74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9.45%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274,639,806.35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52.20%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6,709,097.82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1.28%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526,157,870.00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61,757,492.92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11.74%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10,164,014.43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1.93%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133,346,973.17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25.34%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195,104,466.09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color w:val="000000"/>
                <w:sz w:val="20"/>
              </w:rPr>
              <w:t>37.08%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3.3 报告期末按市值占产品资产</w:t>
            </w:r>
            <w:r>
              <w:rPr>
                <w:rFonts w:hint="eastAsia"/>
                <w:color w:val="000000"/>
                <w:sz w:val="20"/>
                <w:highlight w:val="none"/>
                <w:lang w:eastAsia="zh-CN"/>
              </w:rPr>
              <w:t>组合</w:t>
            </w:r>
            <w:r>
              <w:rPr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b/>
                <w:color w:val="000000"/>
                <w:sz w:val="20"/>
              </w:rPr>
              <w:t>占产品资产</w:t>
            </w:r>
            <w:r>
              <w:rPr>
                <w:rFonts w:hint="eastAsia"/>
                <w:b/>
                <w:color w:val="000000"/>
                <w:sz w:val="20"/>
                <w:highlight w:val="none"/>
                <w:lang w:eastAsia="zh-CN"/>
              </w:rPr>
              <w:t>组合</w:t>
            </w:r>
            <w:r>
              <w:rPr>
                <w:b/>
                <w:color w:val="000000"/>
                <w:sz w:val="20"/>
                <w:highlight w:val="none"/>
              </w:rPr>
              <w:t>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3" w:name="_GoBack" w:colFirst="10" w:colLast="10"/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19CFZR0725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启东市城市建设投资开发有限公司2019年度第五期债权融资计划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100,540,273.97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19.11%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fbzc-zg2019042901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中海汇誉2019-49金华城投专项债权投资集合资金信托计划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100,185,532.38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19.04%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63,500,000.00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73,914,000.00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14.05%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101900506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19南京浦口MTN002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51,728,016.95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9.83%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031773015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17太仓港PPN001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50,061,881.84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9.51%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回购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54,000,000.00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49,704,499.74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9.45%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101800398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18广州地铁MTN002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31,557,074.38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6.00%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155814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19兴业G1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31,117,763.42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5.91%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155358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19华泰G3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20,475,715.07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3.89%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 xml:space="preserve">200201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color w:val="000000"/>
                <w:sz w:val="20"/>
              </w:rPr>
              <w:t>20国开01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color w:val="000000"/>
                <w:sz w:val="20"/>
              </w:rPr>
              <w:t>10,164,014.43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textDirection w:val="lrTb"/>
            <w:vAlign w:val="center"/>
          </w:tcPr>
          <w:p>
            <w:pPr>
              <w:autoSpaceDN w:val="0"/>
              <w:jc w:val="right"/>
              <w:textAlignment w:val="center"/>
            </w:pPr>
            <w:r>
              <w:rPr>
                <w:rFonts w:hint="default" w:ascii="Times New Roman" w:hAnsi="宋体"/>
                <w:b w:val="0"/>
                <w:i w:val="0"/>
                <w:color w:val="000000"/>
                <w:sz w:val="20"/>
                <w:u w:val="none"/>
              </w:rPr>
              <w:t>1.93%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bookmarkEnd w:id="3"/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16,873,112.25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520,766,849.32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color w:val="000000"/>
                <w:sz w:val="20"/>
              </w:rPr>
              <w:t>3.24%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0"/>
  <w:bordersDoNotSurroundFooter w:val="0"/>
  <w:defaultTabStop w:val="8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EMPTY_CELL_STYLE"/>
    <w:rPr>
      <w:rFonts w:ascii="Times New Roman" w:hAnsi="Times New Roman" w:eastAsia="宋体" w:cs="Times New Roman"/>
      <w:color w:val="000000"/>
      <w:sz w:val="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2020-10-19T17:00:00Z</dcterms:created>
  <dc:creator>zrc</dc:creator>
  <dcterms:modified xsi:type="dcterms:W3CDTF">2020-10-20T18:58:40Z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