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50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
      <w:tblGrid>
        <w:gridCol w:w="1"/>
        <w:gridCol w:w="800"/>
        <w:gridCol w:w="2000"/>
        <w:gridCol w:w="400"/>
        <w:gridCol w:w="400"/>
        <w:gridCol w:w="400"/>
        <w:gridCol w:w="20"/>
        <w:gridCol w:w="980"/>
        <w:gridCol w:w="1600"/>
        <w:gridCol w:w="400"/>
        <w:gridCol w:w="400"/>
        <w:gridCol w:w="220"/>
        <w:gridCol w:w="1380"/>
        <w:gridCol w:w="1700"/>
        <w:gridCol w:w="20"/>
        <w:gridCol w:w="780"/>
      </w:tblGrid>
      <w:tr>
        <w:trPr>
          <w:trHeight w:val="0" w:hRule="atLeast"/>
        </w:trPr>
        <w:tc>
          <w:tcPr>
            <w:tcW w:w="1" w:type="dxa"/>
            <w:vAlign w:val="top"/>
          </w:tcPr>
          <w:p>
            <w:pPr>
              <w:pStyle w:val="3"/>
            </w:pPr>
            <w:bookmarkStart w:id="0" w:name="JR_PAGE_ANCHOR_0_1"/>
            <w:bookmarkEnd w:id="0"/>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5"/>
            <w:vAlign w:val="top"/>
          </w:tcPr>
          <w:p>
            <w:pPr>
              <w:pStyle w:val="3"/>
            </w:pPr>
          </w:p>
        </w:tc>
        <w:tc>
          <w:tcPr>
            <w:tcW w:w="3300" w:type="dxa"/>
            <w:gridSpan w:val="3"/>
            <w:vAlign w:val="top"/>
          </w:tcPr>
          <w:p>
            <w:pPr>
              <w:pStyle w:val="3"/>
            </w:pPr>
          </w:p>
        </w:tc>
        <w:tc>
          <w:tcPr>
            <w:tcW w:w="800" w:type="dxa"/>
            <w:gridSpan w:val="2"/>
            <w:vAlign w:val="top"/>
          </w:tcPr>
          <w:p>
            <w:pPr>
              <w:pStyle w:val="3"/>
            </w:pPr>
          </w:p>
        </w:tc>
      </w:tr>
      <w:tr>
        <w:trPr>
          <w:trHeight w:val="180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“金港湾惠享（私募版）1914期”定期报告</w:t>
            </w:r>
          </w:p>
        </w:tc>
        <w:tc>
          <w:tcPr>
            <w:tcW w:w="800" w:type="dxa"/>
            <w:gridSpan w:val="2"/>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5"/>
            <w:vAlign w:val="top"/>
          </w:tcPr>
          <w:p>
            <w:pPr>
              <w:pStyle w:val="3"/>
            </w:pPr>
          </w:p>
        </w:tc>
        <w:tc>
          <w:tcPr>
            <w:tcW w:w="3300" w:type="dxa"/>
            <w:gridSpan w:val="3"/>
            <w:vAlign w:val="top"/>
          </w:tcPr>
          <w:p>
            <w:pPr>
              <w:pStyle w:val="3"/>
            </w:pP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产品管理人：江苏张家港农村商业银行股份有限公司</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产品托管人：招商银行股份有限公司</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发布时间：2021年03月31日</w:t>
            </w:r>
          </w:p>
        </w:tc>
        <w:tc>
          <w:tcPr>
            <w:tcW w:w="800" w:type="dxa"/>
            <w:gridSpan w:val="2"/>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5"/>
            <w:vAlign w:val="top"/>
          </w:tcPr>
          <w:p>
            <w:pPr>
              <w:pStyle w:val="3"/>
            </w:pPr>
          </w:p>
        </w:tc>
        <w:tc>
          <w:tcPr>
            <w:tcW w:w="3300" w:type="dxa"/>
            <w:gridSpan w:val="3"/>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本报告期自2021年01月01日起至03月31日止。</w:t>
            </w:r>
          </w:p>
        </w:tc>
        <w:tc>
          <w:tcPr>
            <w:tcW w:w="800" w:type="dxa"/>
            <w:gridSpan w:val="2"/>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5"/>
            <w:vAlign w:val="top"/>
          </w:tcPr>
          <w:p>
            <w:pPr>
              <w:pStyle w:val="3"/>
            </w:pPr>
          </w:p>
        </w:tc>
        <w:tc>
          <w:tcPr>
            <w:tcW w:w="3300" w:type="dxa"/>
            <w:gridSpan w:val="3"/>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gridSpan w:val="2"/>
            <w:vAlign w:val="top"/>
          </w:tcPr>
          <w:p>
            <w:pPr>
              <w:pStyle w:val="3"/>
            </w:pPr>
          </w:p>
        </w:tc>
      </w:tr>
      <w:tr>
        <w:trPr>
          <w:trHeight w:val="8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金港湾惠享（私募版）1914期</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HXSM1914</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C1115619A000066</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封闭式净值型</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私募</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500,000,000.00</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报告期末单位净值</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1.0644</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报告期末累计单位净值</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1.0644</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报告期末净值增长率（年化）</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ascii="原版宋体" w:hAnsi="原版宋体" w:eastAsia="原版宋体" w:cs="原版宋体"/>
                <w:color w:val="000000"/>
                <w:sz w:val="20"/>
              </w:rPr>
              <w:t>4.3980</w:t>
            </w:r>
            <w:r>
              <w:rPr>
                <w:rFonts w:ascii="原版宋体" w:hAnsi="原版宋体" w:eastAsia="原版宋体" w:cs="原版宋体"/>
                <w:color w:val="000000"/>
                <w:sz w:val="20"/>
              </w:rPr>
              <w:t>%</w:t>
            </w:r>
          </w:p>
        </w:tc>
        <w:tc>
          <w:tcPr>
            <w:tcW w:w="800" w:type="dxa"/>
            <w:gridSpan w:val="2"/>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5"/>
            <w:vAlign w:val="top"/>
          </w:tcPr>
          <w:p>
            <w:pPr>
              <w:pStyle w:val="3"/>
            </w:pPr>
          </w:p>
        </w:tc>
        <w:tc>
          <w:tcPr>
            <w:tcW w:w="3300" w:type="dxa"/>
            <w:gridSpan w:val="3"/>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资产组合报告</w:t>
            </w:r>
          </w:p>
        </w:tc>
        <w:tc>
          <w:tcPr>
            <w:tcW w:w="800" w:type="dxa"/>
            <w:gridSpan w:val="2"/>
            <w:vAlign w:val="top"/>
          </w:tcPr>
          <w:p>
            <w:pPr>
              <w:pStyle w:val="3"/>
            </w:pPr>
          </w:p>
        </w:tc>
      </w:tr>
      <w:tr>
        <w:trPr>
          <w:trHeight w:val="42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3.1 报告期末资产组合情况</w:t>
            </w:r>
          </w:p>
        </w:tc>
        <w:tc>
          <w:tcPr>
            <w:tcW w:w="800" w:type="dxa"/>
            <w:gridSpan w:val="2"/>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占资产组合比例（%）</w:t>
            </w:r>
          </w:p>
        </w:tc>
        <w:tc>
          <w:tcPr>
            <w:tcW w:w="800" w:type="dxa"/>
            <w:gridSpan w:val="2"/>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533,099,825.76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99.46%</w:t>
            </w:r>
          </w:p>
        </w:tc>
        <w:tc>
          <w:tcPr>
            <w:tcW w:w="800" w:type="dxa"/>
            <w:gridSpan w:val="2"/>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其中:银行间/交易所产品</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84,350,825.76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15.74%</w:t>
            </w:r>
          </w:p>
        </w:tc>
        <w:tc>
          <w:tcPr>
            <w:tcW w:w="800" w:type="dxa"/>
            <w:gridSpan w:val="2"/>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其中：回购</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52,027,923.29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9.71%</w:t>
            </w:r>
          </w:p>
        </w:tc>
        <w:tc>
          <w:tcPr>
            <w:tcW w:w="800" w:type="dxa"/>
            <w:gridSpan w:val="2"/>
            <w:vAlign w:val="top"/>
          </w:tcPr>
          <w:p>
            <w:pPr>
              <w:pStyle w:val="3"/>
            </w:pPr>
          </w:p>
        </w:tc>
      </w:tr>
      <w:tr>
        <w:trPr>
          <w:trHeight w:val="0" w:hRule="atLeast"/>
        </w:trPr>
        <w:tc>
          <w:tcPr>
            <w:tcW w:w="1" w:type="dxa"/>
            <w:vAlign w:val="top"/>
          </w:tcPr>
          <w:p>
            <w:pPr>
              <w:pStyle w:val="3"/>
              <w:pageBreakBefore/>
            </w:pPr>
            <w:bookmarkStart w:id="1" w:name="JR_PAGE_ANCHOR_0_2"/>
            <w:bookmarkEnd w:id="1"/>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800" w:type="dxa"/>
            <w:gridSpan w:val="2"/>
            <w:vAlign w:val="top"/>
          </w:tcPr>
          <w:p>
            <w:pPr>
              <w:pStyle w:val="3"/>
            </w:pPr>
          </w:p>
        </w:tc>
        <w:tc>
          <w:tcPr>
            <w:tcW w:w="20" w:type="dxa"/>
            <w:vAlign w:val="top"/>
          </w:tcPr>
          <w:p>
            <w:pPr>
              <w:pStyle w:val="3"/>
            </w:pPr>
          </w:p>
        </w:tc>
        <w:tc>
          <w:tcPr>
            <w:tcW w:w="980" w:type="dxa"/>
            <w:vAlign w:val="top"/>
          </w:tcPr>
          <w:p>
            <w:pPr>
              <w:pStyle w:val="3"/>
            </w:pPr>
          </w:p>
        </w:tc>
        <w:tc>
          <w:tcPr>
            <w:tcW w:w="1600" w:type="dxa"/>
            <w:vAlign w:val="top"/>
          </w:tcPr>
          <w:p>
            <w:pPr>
              <w:pStyle w:val="3"/>
            </w:pPr>
          </w:p>
        </w:tc>
        <w:tc>
          <w:tcPr>
            <w:tcW w:w="400" w:type="dxa"/>
            <w:vAlign w:val="top"/>
          </w:tcPr>
          <w:p>
            <w:pPr>
              <w:pStyle w:val="3"/>
            </w:pPr>
          </w:p>
        </w:tc>
        <w:tc>
          <w:tcPr>
            <w:tcW w:w="400" w:type="dxa"/>
            <w:vAlign w:val="top"/>
          </w:tcPr>
          <w:p>
            <w:pPr>
              <w:pStyle w:val="3"/>
            </w:pPr>
          </w:p>
        </w:tc>
        <w:tc>
          <w:tcPr>
            <w:tcW w:w="220" w:type="dxa"/>
            <w:vAlign w:val="top"/>
          </w:tcPr>
          <w:p>
            <w:pPr>
              <w:pStyle w:val="3"/>
            </w:pPr>
          </w:p>
        </w:tc>
        <w:tc>
          <w:tcPr>
            <w:tcW w:w="1380" w:type="dxa"/>
            <w:vAlign w:val="top"/>
          </w:tcPr>
          <w:p>
            <w:pPr>
              <w:pStyle w:val="3"/>
            </w:pPr>
          </w:p>
        </w:tc>
        <w:tc>
          <w:tcPr>
            <w:tcW w:w="1700" w:type="dxa"/>
            <w:vAlign w:val="top"/>
          </w:tcPr>
          <w:p>
            <w:pPr>
              <w:pStyle w:val="3"/>
            </w:pP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非银行间/非交易所产品</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448,749,000.00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83.72%</w:t>
            </w: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2,913,707.45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0.54%</w:t>
            </w: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536,013,533.21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20" w:type="dxa"/>
            <w:vAlign w:val="top"/>
          </w:tcPr>
          <w:p>
            <w:pPr>
              <w:pStyle w:val="3"/>
            </w:pPr>
          </w:p>
        </w:tc>
        <w:tc>
          <w:tcPr>
            <w:tcW w:w="78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800" w:type="dxa"/>
            <w:gridSpan w:val="2"/>
            <w:vAlign w:val="top"/>
          </w:tcPr>
          <w:p>
            <w:pPr>
              <w:pStyle w:val="3"/>
            </w:pPr>
          </w:p>
        </w:tc>
        <w:tc>
          <w:tcPr>
            <w:tcW w:w="20" w:type="dxa"/>
            <w:vAlign w:val="top"/>
          </w:tcPr>
          <w:p>
            <w:pPr>
              <w:pStyle w:val="3"/>
            </w:pPr>
          </w:p>
        </w:tc>
        <w:tc>
          <w:tcPr>
            <w:tcW w:w="980" w:type="dxa"/>
            <w:vAlign w:val="top"/>
          </w:tcPr>
          <w:p>
            <w:pPr>
              <w:pStyle w:val="3"/>
            </w:pPr>
          </w:p>
        </w:tc>
        <w:tc>
          <w:tcPr>
            <w:tcW w:w="1600" w:type="dxa"/>
            <w:vAlign w:val="top"/>
          </w:tcPr>
          <w:p>
            <w:pPr>
              <w:pStyle w:val="3"/>
            </w:pPr>
          </w:p>
        </w:tc>
        <w:tc>
          <w:tcPr>
            <w:tcW w:w="400" w:type="dxa"/>
            <w:vAlign w:val="top"/>
          </w:tcPr>
          <w:p>
            <w:pPr>
              <w:pStyle w:val="3"/>
            </w:pPr>
          </w:p>
        </w:tc>
        <w:tc>
          <w:tcPr>
            <w:tcW w:w="400" w:type="dxa"/>
            <w:vAlign w:val="top"/>
          </w:tcPr>
          <w:p>
            <w:pPr>
              <w:pStyle w:val="3"/>
            </w:pPr>
          </w:p>
        </w:tc>
        <w:tc>
          <w:tcPr>
            <w:tcW w:w="220" w:type="dxa"/>
            <w:vAlign w:val="top"/>
          </w:tcPr>
          <w:p>
            <w:pPr>
              <w:pStyle w:val="3"/>
            </w:pPr>
          </w:p>
        </w:tc>
        <w:tc>
          <w:tcPr>
            <w:tcW w:w="1380" w:type="dxa"/>
            <w:vAlign w:val="top"/>
          </w:tcPr>
          <w:p>
            <w:pPr>
              <w:pStyle w:val="3"/>
            </w:pPr>
          </w:p>
        </w:tc>
        <w:tc>
          <w:tcPr>
            <w:tcW w:w="1700" w:type="dxa"/>
            <w:vAlign w:val="top"/>
          </w:tcPr>
          <w:p>
            <w:pPr>
              <w:pStyle w:val="3"/>
            </w:pP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3.2 报告期末按债券品种分类的债券投资组合</w:t>
            </w: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占资产组合比例（%）</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32,322,902.47</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6.03%</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32,322,902.47</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6.03%</w:t>
            </w:r>
          </w:p>
        </w:tc>
        <w:tc>
          <w:tcPr>
            <w:tcW w:w="780" w:type="dxa"/>
            <w:vAlign w:val="top"/>
          </w:tcPr>
          <w:p>
            <w:pPr>
              <w:pStyle w:val="3"/>
            </w:pPr>
          </w:p>
        </w:tc>
      </w:tr>
      <w:tr>
        <w:trPr>
          <w:trHeight w:val="118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800" w:type="dxa"/>
            <w:gridSpan w:val="2"/>
            <w:vAlign w:val="top"/>
          </w:tcPr>
          <w:p>
            <w:pPr>
              <w:pStyle w:val="3"/>
            </w:pPr>
          </w:p>
        </w:tc>
        <w:tc>
          <w:tcPr>
            <w:tcW w:w="20" w:type="dxa"/>
            <w:vAlign w:val="top"/>
          </w:tcPr>
          <w:p>
            <w:pPr>
              <w:pStyle w:val="3"/>
            </w:pPr>
          </w:p>
        </w:tc>
        <w:tc>
          <w:tcPr>
            <w:tcW w:w="980" w:type="dxa"/>
            <w:vAlign w:val="top"/>
          </w:tcPr>
          <w:p>
            <w:pPr>
              <w:pStyle w:val="3"/>
            </w:pPr>
          </w:p>
        </w:tc>
        <w:tc>
          <w:tcPr>
            <w:tcW w:w="1600" w:type="dxa"/>
            <w:vAlign w:val="top"/>
          </w:tcPr>
          <w:p>
            <w:pPr>
              <w:pStyle w:val="3"/>
            </w:pPr>
          </w:p>
        </w:tc>
        <w:tc>
          <w:tcPr>
            <w:tcW w:w="400" w:type="dxa"/>
            <w:vAlign w:val="top"/>
          </w:tcPr>
          <w:p>
            <w:pPr>
              <w:pStyle w:val="3"/>
            </w:pPr>
          </w:p>
        </w:tc>
        <w:tc>
          <w:tcPr>
            <w:tcW w:w="400" w:type="dxa"/>
            <w:vAlign w:val="top"/>
          </w:tcPr>
          <w:p>
            <w:pPr>
              <w:pStyle w:val="3"/>
            </w:pPr>
          </w:p>
        </w:tc>
        <w:tc>
          <w:tcPr>
            <w:tcW w:w="220" w:type="dxa"/>
            <w:vAlign w:val="top"/>
          </w:tcPr>
          <w:p>
            <w:pPr>
              <w:pStyle w:val="3"/>
            </w:pPr>
          </w:p>
        </w:tc>
        <w:tc>
          <w:tcPr>
            <w:tcW w:w="1380" w:type="dxa"/>
            <w:vAlign w:val="top"/>
          </w:tcPr>
          <w:p>
            <w:pPr>
              <w:pStyle w:val="3"/>
            </w:pPr>
          </w:p>
        </w:tc>
        <w:tc>
          <w:tcPr>
            <w:tcW w:w="1700" w:type="dxa"/>
            <w:vAlign w:val="top"/>
          </w:tcPr>
          <w:p>
            <w:pPr>
              <w:pStyle w:val="3"/>
            </w:pP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3.3 </w:t>
            </w:r>
            <w:r>
              <w:rPr>
                <w:rFonts w:hint="eastAsia" w:ascii="原版宋体" w:hAnsi="原版宋体" w:eastAsia="原版宋体" w:cs="原版宋体"/>
                <w:color w:val="000000"/>
                <w:sz w:val="20"/>
              </w:rPr>
              <w:t>报告期末按市值占产品资产组合比例大小排名的前十名资产投资明细</w:t>
            </w:r>
          </w:p>
        </w:tc>
        <w:tc>
          <w:tcPr>
            <w:tcW w:w="20" w:type="dxa"/>
            <w:vAlign w:val="top"/>
          </w:tcPr>
          <w:p>
            <w:pPr>
              <w:pStyle w:val="3"/>
            </w:pPr>
          </w:p>
        </w:tc>
        <w:tc>
          <w:tcPr>
            <w:tcW w:w="78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hint="eastAsia" w:ascii="原版宋体" w:hAnsi="原版宋体" w:eastAsia="原版宋体" w:cs="原版宋体"/>
                <w:b/>
                <w:color w:val="000000"/>
                <w:sz w:val="20"/>
              </w:rPr>
              <w:t>占产品资产组合比例</w:t>
            </w:r>
            <w:r>
              <w:rPr>
                <w:rFonts w:ascii="原版宋体" w:hAnsi="原版宋体" w:eastAsia="原版宋体" w:cs="原版宋体"/>
                <w:b/>
                <w:color w:val="000000"/>
                <w:sz w:val="20"/>
              </w:rPr>
              <w:t>（％）</w:t>
            </w:r>
          </w:p>
        </w:tc>
        <w:tc>
          <w:tcPr>
            <w:tcW w:w="20" w:type="dxa"/>
            <w:vAlign w:val="top"/>
          </w:tcPr>
          <w:p>
            <w:pPr>
              <w:pStyle w:val="3"/>
            </w:pPr>
          </w:p>
        </w:tc>
        <w:tc>
          <w:tcPr>
            <w:tcW w:w="78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XHT7H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鑫元基金-鑫合通7号资产管理计划</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377,100,000.00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448,749,000.00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w:t>
            </w:r>
            <w:r>
              <w:rPr>
                <w:rFonts w:hint="eastAsia" w:ascii="原版宋体" w:hAnsi="原版宋体" w:eastAsia="原版宋体" w:cs="原版宋体"/>
                <w:color w:val="000000"/>
                <w:sz w:val="20"/>
                <w:lang w:val="en-US" w:eastAsia="zh-CN"/>
              </w:rPr>
              <w:t>3.72</w:t>
            </w:r>
            <w:r>
              <w:rPr>
                <w:rFonts w:ascii="原版宋体" w:hAnsi="原版宋体" w:eastAsia="原版宋体" w:cs="原版宋体"/>
                <w:color w:val="000000"/>
                <w:sz w:val="20"/>
              </w:rPr>
              <w:t>%</w:t>
            </w:r>
          </w:p>
        </w:tc>
        <w:tc>
          <w:tcPr>
            <w:tcW w:w="20" w:type="dxa"/>
            <w:vAlign w:val="top"/>
          </w:tcPr>
          <w:p>
            <w:pPr>
              <w:pStyle w:val="3"/>
            </w:pPr>
          </w:p>
        </w:tc>
        <w:tc>
          <w:tcPr>
            <w:tcW w:w="78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回购</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58,600,000.00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52,027,923.29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9.7</w:t>
            </w:r>
            <w:r>
              <w:rPr>
                <w:rFonts w:hint="eastAsia" w:ascii="原版宋体" w:hAnsi="原版宋体" w:eastAsia="原版宋体" w:cs="原版宋体"/>
                <w:color w:val="000000"/>
                <w:sz w:val="20"/>
                <w:lang w:val="en-US" w:eastAsia="zh-CN"/>
              </w:rPr>
              <w:t>1</w:t>
            </w:r>
            <w:r>
              <w:rPr>
                <w:rFonts w:ascii="原版宋体" w:hAnsi="原版宋体" w:eastAsia="原版宋体" w:cs="原版宋体"/>
                <w:color w:val="000000"/>
                <w:sz w:val="20"/>
              </w:rPr>
              <w:t>%</w:t>
            </w:r>
          </w:p>
        </w:tc>
        <w:tc>
          <w:tcPr>
            <w:tcW w:w="20" w:type="dxa"/>
            <w:vAlign w:val="top"/>
          </w:tcPr>
          <w:p>
            <w:pPr>
              <w:pStyle w:val="3"/>
            </w:pPr>
          </w:p>
        </w:tc>
        <w:tc>
          <w:tcPr>
            <w:tcW w:w="78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101800398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18广州地铁MTN002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32,322,902.47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6.0</w:t>
            </w:r>
            <w:r>
              <w:rPr>
                <w:rFonts w:hint="eastAsia" w:ascii="原版宋体" w:hAnsi="原版宋体" w:eastAsia="原版宋体" w:cs="原版宋体"/>
                <w:color w:val="000000"/>
                <w:sz w:val="20"/>
                <w:lang w:val="en-US" w:eastAsia="zh-CN"/>
              </w:rPr>
              <w:t>3</w:t>
            </w:r>
            <w:bookmarkStart w:id="3" w:name="_GoBack"/>
            <w:bookmarkEnd w:id="3"/>
            <w:r>
              <w:rPr>
                <w:rFonts w:ascii="原版宋体" w:hAnsi="原版宋体" w:eastAsia="原版宋体" w:cs="原版宋体"/>
                <w:color w:val="000000"/>
                <w:sz w:val="20"/>
              </w:rPr>
              <w:t>%</w:t>
            </w:r>
          </w:p>
        </w:tc>
        <w:tc>
          <w:tcPr>
            <w:tcW w:w="20" w:type="dxa"/>
            <w:vAlign w:val="top"/>
          </w:tcPr>
          <w:p>
            <w:pPr>
              <w:pStyle w:val="3"/>
            </w:pPr>
          </w:p>
        </w:tc>
        <w:tc>
          <w:tcPr>
            <w:tcW w:w="78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p>
        </w:tc>
        <w:tc>
          <w:tcPr>
            <w:tcW w:w="20" w:type="dxa"/>
            <w:vAlign w:val="top"/>
          </w:tcPr>
          <w:p>
            <w:pPr>
              <w:pStyle w:val="3"/>
            </w:pPr>
          </w:p>
        </w:tc>
        <w:tc>
          <w:tcPr>
            <w:tcW w:w="78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800" w:type="dxa"/>
            <w:gridSpan w:val="2"/>
            <w:vAlign w:val="top"/>
          </w:tcPr>
          <w:p>
            <w:pPr>
              <w:pStyle w:val="3"/>
            </w:pPr>
          </w:p>
        </w:tc>
        <w:tc>
          <w:tcPr>
            <w:tcW w:w="20" w:type="dxa"/>
            <w:vAlign w:val="top"/>
          </w:tcPr>
          <w:p>
            <w:pPr>
              <w:pStyle w:val="3"/>
            </w:pPr>
          </w:p>
        </w:tc>
        <w:tc>
          <w:tcPr>
            <w:tcW w:w="980" w:type="dxa"/>
            <w:vAlign w:val="top"/>
          </w:tcPr>
          <w:p>
            <w:pPr>
              <w:pStyle w:val="3"/>
            </w:pPr>
          </w:p>
        </w:tc>
        <w:tc>
          <w:tcPr>
            <w:tcW w:w="1600" w:type="dxa"/>
            <w:vAlign w:val="top"/>
          </w:tcPr>
          <w:p>
            <w:pPr>
              <w:pStyle w:val="3"/>
            </w:pPr>
          </w:p>
        </w:tc>
        <w:tc>
          <w:tcPr>
            <w:tcW w:w="400" w:type="dxa"/>
            <w:vAlign w:val="top"/>
          </w:tcPr>
          <w:p>
            <w:pPr>
              <w:pStyle w:val="3"/>
            </w:pPr>
          </w:p>
        </w:tc>
        <w:tc>
          <w:tcPr>
            <w:tcW w:w="400" w:type="dxa"/>
            <w:vAlign w:val="top"/>
          </w:tcPr>
          <w:p>
            <w:pPr>
              <w:pStyle w:val="3"/>
            </w:pPr>
          </w:p>
        </w:tc>
        <w:tc>
          <w:tcPr>
            <w:tcW w:w="220" w:type="dxa"/>
            <w:vAlign w:val="top"/>
          </w:tcPr>
          <w:p>
            <w:pPr>
              <w:pStyle w:val="3"/>
            </w:pPr>
          </w:p>
        </w:tc>
        <w:tc>
          <w:tcPr>
            <w:tcW w:w="1380" w:type="dxa"/>
            <w:vAlign w:val="top"/>
          </w:tcPr>
          <w:p>
            <w:pPr>
              <w:pStyle w:val="3"/>
            </w:pPr>
          </w:p>
        </w:tc>
        <w:tc>
          <w:tcPr>
            <w:tcW w:w="1700" w:type="dxa"/>
            <w:vAlign w:val="top"/>
          </w:tcPr>
          <w:p>
            <w:pPr>
              <w:pStyle w:val="3"/>
            </w:pPr>
          </w:p>
        </w:tc>
        <w:tc>
          <w:tcPr>
            <w:tcW w:w="20" w:type="dxa"/>
            <w:vAlign w:val="top"/>
          </w:tcPr>
          <w:p>
            <w:pPr>
              <w:pStyle w:val="3"/>
            </w:pPr>
          </w:p>
        </w:tc>
        <w:tc>
          <w:tcPr>
            <w:tcW w:w="780" w:type="dxa"/>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3.4 报告期末资产组合流动性风险分析</w:t>
            </w:r>
          </w:p>
        </w:tc>
        <w:tc>
          <w:tcPr>
            <w:tcW w:w="20" w:type="dxa"/>
            <w:vAlign w:val="top"/>
          </w:tcPr>
          <w:p>
            <w:pPr>
              <w:pStyle w:val="3"/>
            </w:pPr>
          </w:p>
        </w:tc>
        <w:tc>
          <w:tcPr>
            <w:tcW w:w="780" w:type="dxa"/>
            <w:vAlign w:val="top"/>
          </w:tcPr>
          <w:p>
            <w:pPr>
              <w:pStyle w:val="3"/>
            </w:pPr>
          </w:p>
        </w:tc>
      </w:tr>
      <w:tr>
        <w:trPr>
          <w:trHeight w:val="400" w:hRule="exact"/>
        </w:trPr>
        <w:tc>
          <w:tcPr>
            <w:tcW w:w="1" w:type="dxa"/>
            <w:vAlign w:val="top"/>
          </w:tcPr>
          <w:p>
            <w:pPr>
              <w:pStyle w:val="3"/>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流动性资产市值（元）</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资产组合净值（元）</w:t>
            </w:r>
          </w:p>
        </w:tc>
        <w:tc>
          <w:tcPr>
            <w:tcW w:w="41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流动性资产占比（%）</w:t>
            </w:r>
          </w:p>
        </w:tc>
        <w:tc>
          <w:tcPr>
            <w:tcW w:w="20" w:type="dxa"/>
            <w:vAlign w:val="top"/>
          </w:tcPr>
          <w:p>
            <w:pPr>
              <w:pStyle w:val="3"/>
            </w:pPr>
          </w:p>
        </w:tc>
        <w:tc>
          <w:tcPr>
            <w:tcW w:w="780" w:type="dxa"/>
            <w:vAlign w:val="top"/>
          </w:tcPr>
          <w:p>
            <w:pPr>
              <w:pStyle w:val="3"/>
            </w:pPr>
          </w:p>
        </w:tc>
      </w:tr>
      <w:tr>
        <w:trPr>
          <w:trHeight w:val="400" w:hRule="exact"/>
        </w:trPr>
        <w:tc>
          <w:tcPr>
            <w:tcW w:w="1" w:type="dxa"/>
            <w:vAlign w:val="top"/>
          </w:tcPr>
          <w:p>
            <w:pPr>
              <w:pStyle w:val="3"/>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2,913,707.45</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532,185,479.45</w:t>
            </w:r>
          </w:p>
        </w:tc>
        <w:tc>
          <w:tcPr>
            <w:tcW w:w="41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0.55%</w:t>
            </w:r>
          </w:p>
        </w:tc>
        <w:tc>
          <w:tcPr>
            <w:tcW w:w="20" w:type="dxa"/>
            <w:vAlign w:val="top"/>
          </w:tcPr>
          <w:p>
            <w:pPr>
              <w:pStyle w:val="3"/>
            </w:pPr>
          </w:p>
        </w:tc>
        <w:tc>
          <w:tcPr>
            <w:tcW w:w="780" w:type="dxa"/>
            <w:vAlign w:val="top"/>
          </w:tcPr>
          <w:p>
            <w:pPr>
              <w:pStyle w:val="3"/>
            </w:pPr>
          </w:p>
        </w:tc>
      </w:tr>
      <w:tr>
        <w:trPr>
          <w:trHeight w:val="0" w:hRule="atLeast"/>
        </w:trPr>
        <w:tc>
          <w:tcPr>
            <w:tcW w:w="1" w:type="dxa"/>
            <w:vAlign w:val="top"/>
          </w:tcPr>
          <w:p>
            <w:pPr>
              <w:pStyle w:val="3"/>
              <w:pageBreakBefore/>
            </w:pPr>
            <w:bookmarkStart w:id="2" w:name="JR_PAGE_ANCHOR_0_3"/>
            <w:bookmarkEnd w:id="2"/>
          </w:p>
        </w:tc>
        <w:tc>
          <w:tcPr>
            <w:tcW w:w="10700" w:type="dxa"/>
            <w:gridSpan w:val="13"/>
            <w:vAlign w:val="top"/>
          </w:tcPr>
          <w:p>
            <w:pPr>
              <w:pStyle w:val="3"/>
            </w:pPr>
          </w:p>
        </w:tc>
        <w:tc>
          <w:tcPr>
            <w:tcW w:w="800" w:type="dxa"/>
            <w:gridSpan w:val="2"/>
            <w:vAlign w:val="top"/>
          </w:tcPr>
          <w:p>
            <w:pPr>
              <w:pStyle w:val="3"/>
            </w:pPr>
          </w:p>
        </w:tc>
      </w:tr>
      <w:tr>
        <w:trPr>
          <w:trHeight w:val="120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产品管理人通过合理安排资产配置结构，保持一定比例的流动性资产，控制资产久期、杠杆融资比例，管控产品流动性风险。持仓中主要以一定比例的中高等级信用债或非标资产为主，风险总体可控。</w:t>
            </w:r>
          </w:p>
        </w:tc>
        <w:tc>
          <w:tcPr>
            <w:tcW w:w="800" w:type="dxa"/>
            <w:gridSpan w:val="2"/>
            <w:vAlign w:val="top"/>
          </w:tcPr>
          <w:p>
            <w:pPr>
              <w:pStyle w:val="3"/>
            </w:pPr>
          </w:p>
        </w:tc>
      </w:tr>
      <w:tr>
        <w:trPr>
          <w:trHeight w:val="880" w:hRule="exact"/>
        </w:trPr>
        <w:tc>
          <w:tcPr>
            <w:tcW w:w="1" w:type="dxa"/>
            <w:vAlign w:val="top"/>
          </w:tcPr>
          <w:p>
            <w:pPr>
              <w:pStyle w:val="3"/>
            </w:pPr>
          </w:p>
        </w:tc>
        <w:tc>
          <w:tcPr>
            <w:tcW w:w="10700" w:type="dxa"/>
            <w:gridSpan w:val="13"/>
            <w:vAlign w:val="top"/>
          </w:tcPr>
          <w:p>
            <w:pPr>
              <w:pStyle w:val="3"/>
            </w:pP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江苏张家港农村商业银行股份有限公司</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2021年03月31日</w:t>
            </w:r>
          </w:p>
        </w:tc>
        <w:tc>
          <w:tcPr>
            <w:tcW w:w="800" w:type="dxa"/>
            <w:gridSpan w:val="2"/>
            <w:vAlign w:val="top"/>
          </w:tcPr>
          <w:p>
            <w:pPr>
              <w:pStyle w:val="3"/>
            </w:pPr>
          </w:p>
        </w:tc>
      </w:tr>
    </w:tbl>
    <w:p/>
    <w:sectPr>
      <w:pgSz w:w="13900" w:h="16840"/>
      <w:pgMar w:top="800" w:right="1200" w:bottom="440" w:left="1200" w:header="0" w:footer="0" w:gutter="0"/>
      <w:cols w:space="720" w:num="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40001" w:csb1="00000000"/>
  </w:font>
  <w:font w:name="原版宋体">
    <w:altName w:val="宋体"/>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efaultTabStop w:val="800"/>
  <w:displayHorizontalDrawingGridEvery w:val="1"/>
  <w:displayVerticalDrawingGridEvery w:val="1"/>
  <w:characterSpacingControl w:val="compressPunctuation"/>
  <w:compat>
    <w:spaceForUL/>
    <w:doNotLeaveBackslashAlone/>
    <w:ulTrailSpace/>
    <w:doNotExpandShiftReturn/>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widowControl w:val="0"/>
      <w:jc w:val="both"/>
    </w:pPr>
    <w:rPr>
      <w:rFonts w:ascii="Calibri" w:hAnsi="Calibri" w:eastAsia="宋体" w:cs="黑体"/>
      <w:sz w:val="21"/>
      <w:szCs w:val="22"/>
    </w:rPr>
  </w:style>
  <w:style w:type="character" w:default="1" w:styleId="2">
    <w:name w:val="Default Paragraph Font"/>
  </w:style>
  <w:style w:type="paragraph" w:customStyle="1" w:styleId="3">
    <w:name w:val="EMPTY_CELL_STYLE"/>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2021-04-14T18:18:00Z</dcterms:created>
  <dc:creator>zrc</dc:creator>
  <dcterms:modified xsi:type="dcterms:W3CDTF">2021-04-23T16:30:28Z</dcterms:modified>
  <dc:title>zrc</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