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6"/>
          <w:szCs w:val="36"/>
          <w:highlight w:val="none"/>
        </w:rPr>
      </w:pPr>
    </w:p>
    <w:p>
      <w:pPr>
        <w:ind w:right="408"/>
        <w:jc w:val="center"/>
        <w:rPr>
          <w:rFonts w:ascii="方正大标宋简体" w:hAnsi="宋体" w:eastAsia="方正大标宋简体"/>
          <w:b/>
          <w:sz w:val="36"/>
          <w:szCs w:val="36"/>
          <w:highlight w:val="none"/>
        </w:rPr>
      </w:pPr>
      <w:r>
        <w:rPr>
          <w:rFonts w:hint="eastAsia" w:ascii="方正大标宋简体" w:hAnsi="宋体" w:eastAsia="方正大标宋简体"/>
          <w:b/>
          <w:sz w:val="36"/>
          <w:szCs w:val="36"/>
          <w:highlight w:val="none"/>
          <w:lang w:eastAsia="zh-CN"/>
        </w:rPr>
        <w:t>金港湾天天享</w:t>
      </w:r>
      <w:r>
        <w:rPr>
          <w:rFonts w:hint="eastAsia" w:ascii="方正大标宋简体" w:hAnsi="宋体" w:eastAsia="方正大标宋简体"/>
          <w:b/>
          <w:sz w:val="36"/>
          <w:szCs w:val="36"/>
          <w:highlight w:val="none"/>
        </w:rPr>
        <w:t>净值型人民币理财产品说明书</w:t>
      </w:r>
    </w:p>
    <w:p>
      <w:pPr>
        <w:ind w:right="408"/>
        <w:jc w:val="center"/>
        <w:rPr>
          <w:rFonts w:ascii="方正大标宋简体" w:hAnsi="宋体" w:eastAsia="方正大标宋简体"/>
          <w:b/>
          <w:i/>
          <w:iCs/>
          <w:sz w:val="32"/>
          <w:szCs w:val="32"/>
          <w:highlight w:val="none"/>
          <w:u w:val="single"/>
        </w:rPr>
      </w:pPr>
      <w:r>
        <w:rPr>
          <w:rFonts w:hint="eastAsia" w:ascii="方正大标宋简体" w:hAnsi="宋体" w:eastAsia="方正大标宋简体"/>
          <w:b/>
          <w:i/>
          <w:iCs/>
          <w:sz w:val="32"/>
          <w:szCs w:val="32"/>
          <w:highlight w:val="none"/>
          <w:u w:val="single"/>
        </w:rPr>
        <w:t>理财非存款、产品有风险、投资须谨慎!</w:t>
      </w:r>
    </w:p>
    <w:p>
      <w:pPr>
        <w:spacing w:line="360" w:lineRule="exact"/>
        <w:ind w:right="409" w:firstLine="360" w:firstLineChars="200"/>
        <w:jc w:val="center"/>
        <w:rPr>
          <w:rFonts w:ascii="微软雅黑" w:hAnsi="微软雅黑" w:eastAsia="微软雅黑" w:cs="微软雅黑"/>
          <w:b/>
          <w:bCs/>
          <w:i/>
          <w:iCs/>
          <w:sz w:val="18"/>
          <w:szCs w:val="18"/>
          <w:highlight w:val="none"/>
          <w:u w:val="single"/>
        </w:rPr>
      </w:pPr>
    </w:p>
    <w:p>
      <w:pPr>
        <w:numPr>
          <w:ilvl w:val="255"/>
          <w:numId w:val="0"/>
        </w:numPr>
        <w:spacing w:line="360" w:lineRule="exact"/>
        <w:ind w:firstLine="422" w:firstLineChars="201"/>
        <w:rPr>
          <w:rFonts w:ascii="楷体_GB2312" w:eastAsia="楷体_GB2312"/>
          <w:szCs w:val="21"/>
          <w:highlight w:val="none"/>
        </w:rPr>
      </w:pPr>
      <w:r>
        <w:rPr>
          <w:rFonts w:hint="eastAsia" w:ascii="楷体_GB2312" w:eastAsia="楷体_GB2312"/>
          <w:szCs w:val="21"/>
          <w:highlight w:val="none"/>
        </w:rPr>
        <w:t>张家港农村商业银行销售的理财产品与存款存在明显区别，具有一定的风险。张家港农村商业银行郑重提示：在购买理财产品前，您应确保自己完全理解该项投资的性质和所涉及的风险，根据自己风险承受能力、风险偏好，在慎重考虑后自行决定是否购买本产品。</w:t>
      </w:r>
    </w:p>
    <w:p>
      <w:pPr>
        <w:numPr>
          <w:ilvl w:val="255"/>
          <w:numId w:val="0"/>
        </w:numPr>
        <w:ind w:firstLine="424" w:firstLineChars="201"/>
        <w:rPr>
          <w:rFonts w:ascii="楷体_GB2312" w:eastAsia="楷体_GB2312"/>
          <w:b/>
          <w:bCs/>
          <w:szCs w:val="21"/>
          <w:highlight w:val="none"/>
        </w:rPr>
      </w:pPr>
      <w:r>
        <w:rPr>
          <w:rFonts w:hint="eastAsia" w:ascii="楷体_GB2312" w:eastAsia="楷体_GB2312"/>
          <w:b/>
          <w:bCs/>
          <w:szCs w:val="21"/>
          <w:highlight w:val="none"/>
        </w:rPr>
        <w:t>本产品说明书与风险揭示书、理财产品合约、理财客户权益须知共同构成完整的不可分割的理财合同。若本产品说明书内容与前述文件不一致的，以本产品说明书为准。</w:t>
      </w:r>
      <w:bookmarkStart w:id="0" w:name="_GoBack"/>
      <w:bookmarkEnd w:id="0"/>
      <w:r>
        <w:rPr>
          <w:rFonts w:hint="eastAsia" w:ascii="楷体_GB2312" w:eastAsia="楷体_GB2312"/>
          <w:b/>
          <w:bCs/>
          <w:szCs w:val="21"/>
          <w:highlight w:val="none"/>
        </w:rPr>
        <w:t>在购买本产品前，您应认真阅读本理财产品合同，特别是粗体印刷的条款，若对本理财产品合同的内容有任何疑问，请向张家港农村商业银行营业网点咨询。本产品说明书在法律许可的范围内由张家港农村商业银行负责解释。</w:t>
      </w:r>
    </w:p>
    <w:p>
      <w:pPr>
        <w:numPr>
          <w:ilvl w:val="255"/>
          <w:numId w:val="0"/>
        </w:numPr>
        <w:spacing w:line="360" w:lineRule="exact"/>
        <w:ind w:firstLine="422" w:firstLineChars="201"/>
        <w:rPr>
          <w:rFonts w:ascii="楷体_GB2312" w:eastAsia="楷体_GB2312"/>
          <w:szCs w:val="21"/>
          <w:highlight w:val="none"/>
        </w:rPr>
      </w:pPr>
      <w:r>
        <w:rPr>
          <w:rFonts w:hint="eastAsia" w:ascii="楷体_GB2312" w:eastAsia="楷体_GB2312"/>
          <w:szCs w:val="21"/>
          <w:highlight w:val="none"/>
        </w:rPr>
        <w:t>除本说明书中明确规定的收益或收益分配方式外，任何业绩比较基准等表述均属不具有法律约束力的用语，不代表投资者可能获得的实际收益，亦不构成张家港农村商业银行对本理财产品的任何收益承诺。</w:t>
      </w:r>
    </w:p>
    <w:p>
      <w:pPr>
        <w:numPr>
          <w:ilvl w:val="255"/>
          <w:numId w:val="0"/>
        </w:numPr>
        <w:spacing w:line="360" w:lineRule="exact"/>
        <w:ind w:firstLine="422" w:firstLineChars="201"/>
        <w:rPr>
          <w:rFonts w:ascii="楷体_GB2312" w:eastAsia="楷体_GB2312"/>
          <w:szCs w:val="21"/>
          <w:highlight w:val="none"/>
        </w:rPr>
      </w:pPr>
      <w:r>
        <w:rPr>
          <w:rFonts w:hint="eastAsia" w:ascii="楷体_GB2312" w:eastAsia="楷体_GB2312"/>
          <w:szCs w:val="21"/>
          <w:highlight w:val="none"/>
        </w:rPr>
        <w:t>产品管理人保证《产品说明书》的内容真实、准确，但并不表明投资于本产品没有风险。产品管理人承诺依照诚实信用、勤勉尽责的原则，谨慎、有效地管理和运用本产品资产，但不保证本产品一定盈利，也不保证最低收益。</w:t>
      </w:r>
    </w:p>
    <w:p>
      <w:pPr>
        <w:numPr>
          <w:ilvl w:val="255"/>
          <w:numId w:val="0"/>
        </w:numPr>
        <w:spacing w:line="360" w:lineRule="exact"/>
        <w:ind w:firstLine="422" w:firstLineChars="201"/>
        <w:rPr>
          <w:rFonts w:ascii="楷体_GB2312" w:eastAsia="楷体_GB2312"/>
          <w:szCs w:val="21"/>
          <w:highlight w:val="none"/>
        </w:rPr>
      </w:pPr>
      <w:r>
        <w:rPr>
          <w:rFonts w:hint="eastAsia" w:ascii="楷体_GB2312" w:eastAsia="楷体_GB2312"/>
          <w:szCs w:val="21"/>
          <w:highlight w:val="none"/>
        </w:rPr>
        <w:t>本理财产品只根据本说明书所载的资料操作。</w:t>
      </w:r>
    </w:p>
    <w:p>
      <w:pPr>
        <w:numPr>
          <w:ilvl w:val="255"/>
          <w:numId w:val="0"/>
        </w:numPr>
        <w:spacing w:line="360" w:lineRule="exact"/>
        <w:ind w:firstLine="422" w:firstLineChars="201"/>
        <w:rPr>
          <w:rFonts w:ascii="楷体_GB2312" w:eastAsia="楷体_GB2312"/>
          <w:szCs w:val="21"/>
          <w:highlight w:val="none"/>
        </w:rPr>
      </w:pPr>
    </w:p>
    <w:p>
      <w:pPr>
        <w:numPr>
          <w:ilvl w:val="255"/>
          <w:numId w:val="0"/>
        </w:numPr>
        <w:spacing w:line="360" w:lineRule="exact"/>
        <w:ind w:firstLine="422" w:firstLineChars="201"/>
        <w:rPr>
          <w:rFonts w:ascii="楷体_GB2312" w:eastAsia="楷体_GB2312"/>
          <w:szCs w:val="21"/>
          <w:highlight w:val="none"/>
        </w:rPr>
      </w:pPr>
    </w:p>
    <w:p>
      <w:pPr>
        <w:numPr>
          <w:ilvl w:val="255"/>
          <w:numId w:val="0"/>
        </w:numPr>
        <w:spacing w:line="360" w:lineRule="exact"/>
        <w:ind w:firstLine="565" w:firstLineChars="201"/>
        <w:rPr>
          <w:rFonts w:ascii="楷体_GB2312" w:eastAsia="楷体_GB2312"/>
          <w:b/>
          <w:bCs/>
          <w:sz w:val="28"/>
          <w:szCs w:val="28"/>
          <w:highlight w:val="none"/>
        </w:rPr>
      </w:pPr>
      <w:r>
        <w:rPr>
          <w:rFonts w:hint="eastAsia" w:ascii="楷体_GB2312" w:eastAsia="楷体_GB2312"/>
          <w:b/>
          <w:bCs/>
          <w:sz w:val="28"/>
          <w:szCs w:val="28"/>
          <w:highlight w:val="none"/>
        </w:rPr>
        <w:t>一、产品概述</w:t>
      </w:r>
    </w:p>
    <w:p>
      <w:pPr>
        <w:spacing w:line="360" w:lineRule="exact"/>
        <w:ind w:firstLine="565" w:firstLineChars="201"/>
        <w:rPr>
          <w:rFonts w:ascii="楷体" w:hAnsi="楷体" w:eastAsia="楷体" w:cs="楷体"/>
          <w:b/>
          <w:bCs/>
          <w:sz w:val="28"/>
          <w:szCs w:val="28"/>
          <w:highlight w:val="none"/>
        </w:rPr>
      </w:pPr>
    </w:p>
    <w:tbl>
      <w:tblPr>
        <w:tblStyle w:val="7"/>
        <w:tblW w:w="103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5"/>
        <w:gridCol w:w="79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楷体_GB2312" w:eastAsia="楷体_GB2312"/>
                <w:szCs w:val="21"/>
                <w:highlight w:val="none"/>
              </w:rPr>
            </w:pPr>
            <w:r>
              <w:rPr>
                <w:rFonts w:hint="eastAsia" w:ascii="楷体_GB2312" w:eastAsia="楷体_GB2312"/>
                <w:szCs w:val="21"/>
                <w:highlight w:val="none"/>
              </w:rPr>
              <w:t>产品代码</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_GB2312" w:eastAsia="楷体_GB2312"/>
                <w:szCs w:val="21"/>
                <w:highlight w:val="none"/>
                <w:lang w:val="en-US" w:eastAsia="zh-CN"/>
              </w:rPr>
            </w:pPr>
            <w:r>
              <w:rPr>
                <w:rFonts w:hint="eastAsia" w:ascii="楷体_GB2312" w:eastAsia="楷体_GB2312"/>
                <w:color w:val="auto"/>
                <w:szCs w:val="21"/>
                <w:highlight w:val="none"/>
                <w:lang w:val="en-US" w:eastAsia="zh-CN"/>
              </w:rPr>
              <w:t>TTX001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楷体_GB2312" w:eastAsia="楷体_GB2312"/>
                <w:szCs w:val="21"/>
                <w:highlight w:val="none"/>
              </w:rPr>
            </w:pPr>
            <w:r>
              <w:rPr>
                <w:rFonts w:hint="eastAsia" w:ascii="楷体_GB2312" w:eastAsia="楷体_GB2312"/>
                <w:szCs w:val="21"/>
                <w:highlight w:val="none"/>
              </w:rPr>
              <w:t>产品名称</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楷体_GB2312" w:eastAsia="楷体_GB2312"/>
                <w:szCs w:val="21"/>
                <w:highlight w:val="none"/>
              </w:rPr>
            </w:pPr>
            <w:r>
              <w:rPr>
                <w:rFonts w:hint="eastAsia" w:ascii="楷体_GB2312" w:eastAsia="楷体_GB2312"/>
                <w:szCs w:val="21"/>
                <w:highlight w:val="none"/>
                <w:lang w:eastAsia="zh-CN"/>
              </w:rPr>
              <w:t>金港湾天天享</w:t>
            </w:r>
            <w:r>
              <w:rPr>
                <w:rFonts w:hint="eastAsia" w:ascii="楷体_GB2312" w:eastAsia="楷体_GB2312"/>
                <w:szCs w:val="21"/>
                <w:highlight w:val="none"/>
              </w:rPr>
              <w:t>净值型人民币理财产品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楷体_GB2312" w:eastAsia="楷体_GB2312"/>
                <w:szCs w:val="21"/>
                <w:highlight w:val="none"/>
              </w:rPr>
            </w:pPr>
            <w:r>
              <w:rPr>
                <w:rFonts w:hint="eastAsia" w:ascii="楷体_GB2312" w:eastAsia="楷体_GB2312"/>
                <w:szCs w:val="21"/>
                <w:highlight w:val="none"/>
              </w:rPr>
              <w:t>产品类型</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楷体_GB2312" w:eastAsia="楷体_GB2312"/>
                <w:szCs w:val="21"/>
                <w:highlight w:val="none"/>
              </w:rPr>
            </w:pPr>
            <w:r>
              <w:rPr>
                <w:rFonts w:hint="eastAsia" w:ascii="楷体_GB2312" w:eastAsia="楷体_GB2312"/>
                <w:szCs w:val="21"/>
                <w:highlight w:val="none"/>
              </w:rPr>
              <w:t>固定收益类公募产品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楷体_GB2312" w:eastAsia="楷体_GB2312"/>
                <w:szCs w:val="21"/>
                <w:highlight w:val="none"/>
              </w:rPr>
            </w:pPr>
            <w:r>
              <w:rPr>
                <w:rFonts w:hint="eastAsia" w:ascii="楷体_GB2312" w:eastAsia="楷体_GB2312"/>
                <w:szCs w:val="21"/>
                <w:highlight w:val="none"/>
              </w:rPr>
              <w:t>收益类别</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楷体_GB2312" w:eastAsia="楷体_GB2312"/>
                <w:szCs w:val="21"/>
                <w:highlight w:val="none"/>
              </w:rPr>
            </w:pPr>
            <w:r>
              <w:rPr>
                <w:rFonts w:hint="eastAsia" w:ascii="楷体_GB2312" w:eastAsia="楷体_GB2312"/>
                <w:szCs w:val="21"/>
                <w:highlight w:val="none"/>
              </w:rPr>
              <w:t>非保本浮动收益型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楷体_GB2312" w:eastAsia="楷体_GB2312"/>
                <w:szCs w:val="21"/>
                <w:highlight w:val="none"/>
              </w:rPr>
            </w:pPr>
            <w:r>
              <w:rPr>
                <w:rFonts w:hint="eastAsia" w:ascii="楷体_GB2312" w:eastAsia="楷体_GB2312"/>
                <w:szCs w:val="21"/>
                <w:highlight w:val="none"/>
              </w:rPr>
              <w:t>运行模式</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楷体_GB2312" w:eastAsia="楷体_GB2312"/>
                <w:szCs w:val="21"/>
                <w:highlight w:val="none"/>
              </w:rPr>
            </w:pPr>
            <w:r>
              <w:rPr>
                <w:rFonts w:hint="eastAsia" w:ascii="楷体_GB2312" w:eastAsia="楷体_GB2312"/>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楷体_GB2312" w:eastAsia="楷体_GB2312"/>
                <w:szCs w:val="21"/>
                <w:highlight w:val="none"/>
              </w:rPr>
            </w:pPr>
            <w:r>
              <w:rPr>
                <w:rFonts w:hint="eastAsia" w:ascii="楷体_GB2312" w:eastAsia="楷体_GB2312"/>
                <w:szCs w:val="21"/>
                <w:highlight w:val="none"/>
              </w:rPr>
              <w:t>产品登记编码</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楷体_GB2312" w:eastAsia="楷体_GB2312"/>
                <w:szCs w:val="21"/>
                <w:highlight w:val="none"/>
              </w:rPr>
            </w:pPr>
            <w:r>
              <w:rPr>
                <w:rFonts w:hint="eastAsia" w:ascii="楷体_GB2312" w:eastAsia="楷体_GB2312"/>
                <w:szCs w:val="21"/>
                <w:highlight w:val="none"/>
              </w:rPr>
              <w:t>该产品在全国银行业理财信息登记系统的登记编码是C11156</w:t>
            </w:r>
            <w:r>
              <w:rPr>
                <w:rFonts w:hint="eastAsia" w:ascii="楷体_GB2312" w:eastAsia="楷体_GB2312"/>
                <w:szCs w:val="21"/>
                <w:highlight w:val="none"/>
                <w:lang w:val="en-US" w:eastAsia="zh-CN"/>
              </w:rPr>
              <w:t>19000093</w:t>
            </w:r>
            <w:r>
              <w:rPr>
                <w:rFonts w:hint="eastAsia" w:ascii="楷体_GB2312" w:eastAsia="楷体_GB2312"/>
                <w:szCs w:val="21"/>
                <w:highlight w:val="none"/>
              </w:rPr>
              <w:t>，客户可依据该编码在“中国理财网（www.chinawealth.com.cn)”查询该产品信息。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楷体_GB2312" w:eastAsia="楷体_GB2312"/>
                <w:szCs w:val="21"/>
                <w:highlight w:val="none"/>
              </w:rPr>
            </w:pPr>
            <w:r>
              <w:rPr>
                <w:rFonts w:hint="eastAsia" w:ascii="楷体_GB2312" w:eastAsia="楷体_GB2312"/>
                <w:szCs w:val="21"/>
                <w:highlight w:val="none"/>
              </w:rPr>
              <w:t>内部风险评级</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楷体_GB2312" w:eastAsia="楷体_GB2312"/>
                <w:szCs w:val="21"/>
                <w:highlight w:val="none"/>
              </w:rPr>
            </w:pPr>
            <w:r>
              <w:rPr>
                <w:rFonts w:hint="eastAsia" w:ascii="楷体_GB2312" w:eastAsia="楷体_GB2312"/>
                <w:szCs w:val="21"/>
                <w:highlight w:val="none"/>
              </w:rPr>
              <w:t>中低风险（二级★★）(详见内部风险评级说明)，风险程度属中低风险级别，适合于稳健型及以上投资者。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楷体_GB2312" w:eastAsia="楷体_GB2312"/>
                <w:szCs w:val="21"/>
                <w:highlight w:val="none"/>
              </w:rPr>
            </w:pPr>
            <w:r>
              <w:rPr>
                <w:rFonts w:hint="eastAsia" w:ascii="楷体_GB2312" w:eastAsia="楷体_GB2312"/>
                <w:szCs w:val="21"/>
                <w:highlight w:val="none"/>
              </w:rPr>
              <w:t>理财币种</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楷体_GB2312" w:eastAsia="楷体_GB2312"/>
                <w:szCs w:val="21"/>
                <w:highlight w:val="none"/>
              </w:rPr>
            </w:pPr>
            <w:r>
              <w:rPr>
                <w:rFonts w:hint="eastAsia" w:ascii="楷体_GB2312" w:eastAsia="楷体_GB2312"/>
                <w:szCs w:val="21"/>
                <w:highlight w:val="none"/>
              </w:rPr>
              <w:t>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楷体_GB2312" w:eastAsia="楷体_GB2312"/>
                <w:szCs w:val="21"/>
                <w:highlight w:val="none"/>
              </w:rPr>
            </w:pPr>
            <w:r>
              <w:rPr>
                <w:rFonts w:hint="eastAsia" w:ascii="楷体_GB2312" w:eastAsia="楷体_GB2312"/>
                <w:szCs w:val="21"/>
                <w:highlight w:val="none"/>
              </w:rPr>
              <w:t>产品规模上限/下限</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楷体_GB2312" w:eastAsia="楷体_GB2312"/>
                <w:color w:val="auto"/>
                <w:szCs w:val="21"/>
                <w:highlight w:val="none"/>
              </w:rPr>
            </w:pPr>
            <w:r>
              <w:rPr>
                <w:rFonts w:hint="eastAsia" w:ascii="楷体_GB2312" w:eastAsia="楷体_GB2312"/>
                <w:color w:val="auto"/>
                <w:szCs w:val="21"/>
                <w:highlight w:val="none"/>
              </w:rPr>
              <w:t>产品认购/存续规模上限</w:t>
            </w:r>
            <w:r>
              <w:rPr>
                <w:rFonts w:hint="eastAsia" w:ascii="楷体_GB2312" w:eastAsia="楷体_GB2312"/>
                <w:color w:val="auto"/>
                <w:szCs w:val="21"/>
                <w:highlight w:val="none"/>
                <w:lang w:val="en-US" w:eastAsia="zh-CN"/>
              </w:rPr>
              <w:t>200</w:t>
            </w:r>
            <w:r>
              <w:rPr>
                <w:rFonts w:hint="eastAsia" w:ascii="楷体_GB2312" w:eastAsia="楷体_GB2312"/>
                <w:color w:val="auto"/>
                <w:szCs w:val="21"/>
                <w:highlight w:val="none"/>
              </w:rPr>
              <w:t>0000万元。张家港农村商业银行有权根据市场波动调整存续规模，并提前2个工作日在张家港农村商业银行网站进行公告。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楷体_GB2312" w:eastAsia="楷体_GB2312"/>
                <w:szCs w:val="21"/>
                <w:highlight w:val="none"/>
              </w:rPr>
            </w:pPr>
            <w:r>
              <w:rPr>
                <w:rFonts w:hint="eastAsia" w:ascii="楷体_GB2312" w:eastAsia="楷体_GB2312"/>
                <w:szCs w:val="21"/>
                <w:highlight w:val="none"/>
              </w:rPr>
              <w:t>投资起点金额</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楷体_GB2312" w:eastAsia="楷体_GB2312"/>
                <w:color w:val="auto"/>
                <w:szCs w:val="21"/>
                <w:highlight w:val="none"/>
              </w:rPr>
            </w:pPr>
            <w:r>
              <w:rPr>
                <w:rFonts w:hint="eastAsia" w:ascii="楷体_GB2312" w:eastAsia="楷体_GB2312"/>
                <w:color w:val="auto"/>
                <w:szCs w:val="21"/>
                <w:highlight w:val="none"/>
              </w:rPr>
              <w:t>起点金额</w:t>
            </w:r>
            <w:r>
              <w:rPr>
                <w:rFonts w:hint="eastAsia" w:ascii="楷体_GB2312" w:eastAsia="楷体_GB2312"/>
                <w:color w:val="auto"/>
                <w:szCs w:val="21"/>
                <w:highlight w:val="none"/>
                <w:lang w:val="en-US" w:eastAsia="zh-CN"/>
              </w:rPr>
              <w:t>1</w:t>
            </w:r>
            <w:r>
              <w:rPr>
                <w:rFonts w:hint="eastAsia" w:ascii="楷体_GB2312" w:eastAsia="楷体_GB2312"/>
                <w:color w:val="auto"/>
                <w:szCs w:val="21"/>
                <w:highlight w:val="none"/>
              </w:rPr>
              <w:t>万元人民币,以</w:t>
            </w:r>
            <w:r>
              <w:rPr>
                <w:rFonts w:hint="eastAsia" w:ascii="楷体_GB2312" w:eastAsia="楷体_GB2312"/>
                <w:color w:val="auto"/>
                <w:szCs w:val="21"/>
                <w:highlight w:val="none"/>
                <w:lang w:val="en-US" w:eastAsia="zh-CN"/>
              </w:rPr>
              <w:t>1000</w:t>
            </w:r>
            <w:r>
              <w:rPr>
                <w:rFonts w:hint="eastAsia" w:ascii="楷体_GB2312" w:eastAsia="楷体_GB2312"/>
                <w:color w:val="auto"/>
                <w:szCs w:val="21"/>
                <w:highlight w:val="none"/>
              </w:rPr>
              <w:t>元的整数倍递增；</w:t>
            </w:r>
          </w:p>
          <w:p>
            <w:pPr>
              <w:spacing w:line="360" w:lineRule="exact"/>
              <w:rPr>
                <w:rFonts w:ascii="楷体_GB2312" w:eastAsia="楷体_GB2312"/>
                <w:color w:val="auto"/>
                <w:szCs w:val="21"/>
                <w:highlight w:val="none"/>
              </w:rPr>
            </w:pPr>
            <w:r>
              <w:rPr>
                <w:rFonts w:hint="eastAsia" w:ascii="楷体_GB2312" w:eastAsia="楷体_GB2312"/>
                <w:color w:val="auto"/>
                <w:szCs w:val="21"/>
                <w:highlight w:val="none"/>
              </w:rPr>
              <w:t>后续在符合监管政策规定的条件下，张家港农村商业银行有权对上述起点金额和递增金额进行调整。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楷体_GB2312" w:eastAsia="楷体_GB2312"/>
                <w:szCs w:val="21"/>
                <w:highlight w:val="none"/>
              </w:rPr>
            </w:pPr>
            <w:r>
              <w:rPr>
                <w:rFonts w:hint="eastAsia" w:ascii="楷体_GB2312" w:eastAsia="楷体_GB2312"/>
                <w:szCs w:val="21"/>
                <w:highlight w:val="none"/>
              </w:rPr>
              <w:t>理财认购期</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楷体_GB2312" w:eastAsia="楷体_GB2312"/>
                <w:color w:val="auto"/>
                <w:szCs w:val="21"/>
                <w:highlight w:val="none"/>
              </w:rPr>
            </w:pPr>
            <w:r>
              <w:rPr>
                <w:rFonts w:hint="eastAsia" w:ascii="楷体_GB2312" w:eastAsia="楷体_GB2312"/>
                <w:color w:val="auto"/>
                <w:szCs w:val="21"/>
                <w:highlight w:val="none"/>
              </w:rPr>
              <w:t>201</w:t>
            </w:r>
            <w:r>
              <w:rPr>
                <w:rFonts w:hint="eastAsia" w:ascii="楷体_GB2312" w:eastAsia="楷体_GB2312"/>
                <w:color w:val="auto"/>
                <w:szCs w:val="21"/>
                <w:highlight w:val="none"/>
                <w:lang w:val="en-US" w:eastAsia="zh-CN"/>
              </w:rPr>
              <w:t>9</w:t>
            </w:r>
            <w:r>
              <w:rPr>
                <w:rFonts w:hint="eastAsia" w:ascii="楷体_GB2312" w:eastAsia="楷体_GB2312"/>
                <w:color w:val="auto"/>
                <w:szCs w:val="21"/>
                <w:highlight w:val="none"/>
              </w:rPr>
              <w:t>年1</w:t>
            </w:r>
            <w:r>
              <w:rPr>
                <w:rFonts w:hint="eastAsia" w:ascii="楷体_GB2312" w:eastAsia="楷体_GB2312"/>
                <w:color w:val="auto"/>
                <w:szCs w:val="21"/>
                <w:highlight w:val="none"/>
                <w:lang w:val="en-US" w:eastAsia="zh-CN"/>
              </w:rPr>
              <w:t>1</w:t>
            </w:r>
            <w:r>
              <w:rPr>
                <w:rFonts w:hint="eastAsia" w:ascii="楷体_GB2312" w:eastAsia="楷体_GB2312"/>
                <w:color w:val="auto"/>
                <w:szCs w:val="21"/>
                <w:highlight w:val="none"/>
              </w:rPr>
              <w:t>月</w:t>
            </w:r>
            <w:r>
              <w:rPr>
                <w:rFonts w:hint="eastAsia" w:ascii="楷体_GB2312" w:eastAsia="楷体_GB2312"/>
                <w:color w:val="auto"/>
                <w:szCs w:val="21"/>
                <w:highlight w:val="none"/>
                <w:lang w:val="en-US" w:eastAsia="zh-CN"/>
              </w:rPr>
              <w:t>07</w:t>
            </w:r>
            <w:r>
              <w:rPr>
                <w:rFonts w:hint="eastAsia" w:ascii="楷体_GB2312" w:eastAsia="楷体_GB2312"/>
                <w:color w:val="auto"/>
                <w:szCs w:val="21"/>
                <w:highlight w:val="none"/>
              </w:rPr>
              <w:t>日至201</w:t>
            </w:r>
            <w:r>
              <w:rPr>
                <w:rFonts w:hint="eastAsia" w:ascii="楷体_GB2312" w:eastAsia="楷体_GB2312"/>
                <w:color w:val="auto"/>
                <w:szCs w:val="21"/>
                <w:highlight w:val="none"/>
                <w:lang w:val="en-US" w:eastAsia="zh-CN"/>
              </w:rPr>
              <w:t>9</w:t>
            </w:r>
            <w:r>
              <w:rPr>
                <w:rFonts w:hint="eastAsia" w:ascii="楷体_GB2312" w:eastAsia="楷体_GB2312"/>
                <w:color w:val="auto"/>
                <w:szCs w:val="21"/>
                <w:highlight w:val="none"/>
              </w:rPr>
              <w:t>年1</w:t>
            </w:r>
            <w:r>
              <w:rPr>
                <w:rFonts w:hint="eastAsia" w:ascii="楷体_GB2312" w:eastAsia="楷体_GB2312"/>
                <w:color w:val="auto"/>
                <w:szCs w:val="21"/>
                <w:highlight w:val="none"/>
                <w:lang w:val="en-US" w:eastAsia="zh-CN"/>
              </w:rPr>
              <w:t>1</w:t>
            </w:r>
            <w:r>
              <w:rPr>
                <w:rFonts w:hint="eastAsia" w:ascii="楷体_GB2312" w:eastAsia="楷体_GB2312"/>
                <w:color w:val="auto"/>
                <w:szCs w:val="21"/>
                <w:highlight w:val="none"/>
              </w:rPr>
              <w:t>月</w:t>
            </w:r>
            <w:r>
              <w:rPr>
                <w:rFonts w:hint="eastAsia" w:ascii="楷体_GB2312" w:eastAsia="楷体_GB2312"/>
                <w:color w:val="auto"/>
                <w:szCs w:val="21"/>
                <w:highlight w:val="none"/>
                <w:lang w:val="en-US" w:eastAsia="zh-CN"/>
              </w:rPr>
              <w:t>13</w:t>
            </w:r>
            <w:r>
              <w:rPr>
                <w:rFonts w:hint="eastAsia" w:ascii="楷体_GB2312" w:eastAsia="楷体_GB2312"/>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_GB2312" w:eastAsia="楷体_GB2312"/>
                <w:szCs w:val="21"/>
                <w:highlight w:val="none"/>
                <w:lang w:eastAsia="zh-CN"/>
              </w:rPr>
            </w:pPr>
            <w:r>
              <w:rPr>
                <w:rFonts w:hint="eastAsia" w:ascii="楷体_GB2312" w:eastAsia="楷体_GB2312"/>
                <w:szCs w:val="21"/>
                <w:highlight w:val="none"/>
                <w:lang w:eastAsia="zh-CN"/>
              </w:rPr>
              <w:t>产品成立日</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楷体_GB2312" w:eastAsia="楷体_GB2312"/>
                <w:color w:val="auto"/>
                <w:szCs w:val="21"/>
                <w:highlight w:val="none"/>
              </w:rPr>
            </w:pPr>
            <w:r>
              <w:rPr>
                <w:rFonts w:hint="eastAsia" w:ascii="楷体_GB2312" w:eastAsia="楷体_GB2312"/>
                <w:color w:val="auto"/>
                <w:szCs w:val="21"/>
                <w:highlight w:val="none"/>
              </w:rPr>
              <w:t>201</w:t>
            </w:r>
            <w:r>
              <w:rPr>
                <w:rFonts w:hint="eastAsia" w:ascii="楷体_GB2312" w:eastAsia="楷体_GB2312"/>
                <w:color w:val="auto"/>
                <w:szCs w:val="21"/>
                <w:highlight w:val="none"/>
                <w:lang w:val="en-US" w:eastAsia="zh-CN"/>
              </w:rPr>
              <w:t>9</w:t>
            </w:r>
            <w:r>
              <w:rPr>
                <w:rFonts w:hint="eastAsia" w:ascii="楷体_GB2312" w:eastAsia="楷体_GB2312"/>
                <w:color w:val="auto"/>
                <w:szCs w:val="21"/>
                <w:highlight w:val="none"/>
              </w:rPr>
              <w:t>年1</w:t>
            </w:r>
            <w:r>
              <w:rPr>
                <w:rFonts w:hint="eastAsia" w:ascii="楷体_GB2312" w:eastAsia="楷体_GB2312"/>
                <w:color w:val="auto"/>
                <w:szCs w:val="21"/>
                <w:highlight w:val="none"/>
                <w:lang w:val="en-US" w:eastAsia="zh-CN"/>
              </w:rPr>
              <w:t>1</w:t>
            </w:r>
            <w:r>
              <w:rPr>
                <w:rFonts w:hint="eastAsia" w:ascii="楷体_GB2312" w:eastAsia="楷体_GB2312"/>
                <w:color w:val="auto"/>
                <w:szCs w:val="21"/>
                <w:highlight w:val="none"/>
              </w:rPr>
              <w:t>月</w:t>
            </w:r>
            <w:r>
              <w:rPr>
                <w:rFonts w:hint="eastAsia" w:ascii="楷体_GB2312" w:eastAsia="楷体_GB2312"/>
                <w:color w:val="auto"/>
                <w:szCs w:val="21"/>
                <w:highlight w:val="none"/>
                <w:lang w:val="en-US" w:eastAsia="zh-CN"/>
              </w:rPr>
              <w:t>14</w:t>
            </w:r>
            <w:r>
              <w:rPr>
                <w:rFonts w:hint="eastAsia" w:ascii="楷体_GB2312" w:eastAsia="楷体_GB2312"/>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_GB2312" w:eastAsia="楷体_GB2312"/>
                <w:szCs w:val="21"/>
                <w:highlight w:val="none"/>
                <w:lang w:eastAsia="zh-CN"/>
              </w:rPr>
            </w:pPr>
            <w:r>
              <w:rPr>
                <w:rFonts w:hint="eastAsia" w:ascii="楷体_GB2312" w:eastAsia="楷体_GB2312"/>
                <w:szCs w:val="21"/>
                <w:highlight w:val="none"/>
                <w:lang w:eastAsia="zh-CN"/>
              </w:rPr>
              <w:t>产品封闭期</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_GB2312" w:eastAsia="楷体_GB2312"/>
                <w:color w:val="auto"/>
                <w:szCs w:val="21"/>
                <w:highlight w:val="none"/>
                <w:lang w:val="en-US" w:eastAsia="zh-CN"/>
              </w:rPr>
            </w:pPr>
            <w:r>
              <w:rPr>
                <w:rFonts w:hint="eastAsia" w:ascii="楷体_GB2312" w:eastAsia="楷体_GB2312"/>
                <w:color w:val="auto"/>
                <w:szCs w:val="21"/>
                <w:highlight w:val="none"/>
                <w:lang w:val="en-US" w:eastAsia="zh-CN"/>
              </w:rPr>
              <w:t>2019年11月14日-2019年12月04日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楷体_GB2312" w:eastAsia="楷体_GB2312"/>
                <w:szCs w:val="21"/>
                <w:highlight w:val="none"/>
              </w:rPr>
            </w:pPr>
            <w:r>
              <w:rPr>
                <w:rFonts w:hint="eastAsia" w:ascii="楷体_GB2312" w:eastAsia="楷体_GB2312"/>
                <w:szCs w:val="21"/>
                <w:highlight w:val="none"/>
              </w:rPr>
              <w:t>产品期限</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_GB2312" w:eastAsia="楷体_GB2312"/>
                <w:color w:val="auto"/>
                <w:szCs w:val="21"/>
                <w:highlight w:val="none"/>
                <w:lang w:eastAsia="zh-CN"/>
              </w:rPr>
            </w:pPr>
            <w:r>
              <w:rPr>
                <w:rFonts w:hint="eastAsia" w:ascii="楷体_GB2312" w:eastAsia="楷体_GB2312"/>
                <w:color w:val="auto"/>
                <w:szCs w:val="21"/>
                <w:highlight w:val="none"/>
              </w:rPr>
              <w:t>20年（取决于银行提前终止条款或产品是否延期）</w:t>
            </w:r>
            <w:r>
              <w:rPr>
                <w:rFonts w:hint="eastAsia" w:ascii="楷体_GB2312" w:eastAsia="楷体_GB2312"/>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楷体_GB2312" w:eastAsia="楷体_GB2312"/>
                <w:szCs w:val="21"/>
                <w:highlight w:val="none"/>
              </w:rPr>
            </w:pPr>
            <w:r>
              <w:rPr>
                <w:rFonts w:hint="eastAsia" w:ascii="楷体_GB2312" w:eastAsia="楷体_GB2312"/>
                <w:szCs w:val="21"/>
                <w:highlight w:val="none"/>
              </w:rPr>
              <w:t>产品到期日</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楷体_GB2312" w:eastAsia="楷体_GB2312"/>
                <w:color w:val="auto"/>
                <w:szCs w:val="21"/>
                <w:highlight w:val="none"/>
              </w:rPr>
            </w:pPr>
            <w:r>
              <w:rPr>
                <w:rFonts w:hint="eastAsia" w:ascii="楷体_GB2312" w:eastAsia="楷体_GB2312"/>
                <w:color w:val="auto"/>
                <w:szCs w:val="21"/>
                <w:highlight w:val="none"/>
              </w:rPr>
              <w:t>203</w:t>
            </w:r>
            <w:r>
              <w:rPr>
                <w:rFonts w:hint="eastAsia" w:ascii="楷体_GB2312" w:eastAsia="楷体_GB2312"/>
                <w:color w:val="auto"/>
                <w:szCs w:val="21"/>
                <w:highlight w:val="none"/>
                <w:lang w:val="en-US" w:eastAsia="zh-CN"/>
              </w:rPr>
              <w:t>9</w:t>
            </w:r>
            <w:r>
              <w:rPr>
                <w:rFonts w:hint="eastAsia" w:ascii="楷体_GB2312" w:eastAsia="楷体_GB2312"/>
                <w:color w:val="auto"/>
                <w:szCs w:val="21"/>
                <w:highlight w:val="none"/>
              </w:rPr>
              <w:t>年</w:t>
            </w:r>
            <w:r>
              <w:rPr>
                <w:rFonts w:hint="eastAsia" w:ascii="楷体_GB2312" w:eastAsia="楷体_GB2312"/>
                <w:color w:val="auto"/>
                <w:szCs w:val="21"/>
                <w:highlight w:val="none"/>
                <w:lang w:val="en-US" w:eastAsia="zh-CN"/>
              </w:rPr>
              <w:t>11</w:t>
            </w:r>
            <w:r>
              <w:rPr>
                <w:rFonts w:hint="eastAsia" w:ascii="楷体_GB2312" w:eastAsia="楷体_GB2312"/>
                <w:color w:val="auto"/>
                <w:szCs w:val="21"/>
                <w:highlight w:val="none"/>
              </w:rPr>
              <w:t>月</w:t>
            </w:r>
            <w:r>
              <w:rPr>
                <w:rFonts w:hint="eastAsia" w:ascii="楷体_GB2312" w:eastAsia="楷体_GB2312"/>
                <w:color w:val="auto"/>
                <w:szCs w:val="21"/>
                <w:highlight w:val="none"/>
                <w:lang w:val="en-US" w:eastAsia="zh-CN"/>
              </w:rPr>
              <w:t>11</w:t>
            </w:r>
            <w:r>
              <w:rPr>
                <w:rFonts w:hint="eastAsia" w:ascii="楷体_GB2312" w:eastAsia="楷体_GB2312"/>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楷体_GB2312" w:eastAsia="楷体_GB2312"/>
                <w:szCs w:val="21"/>
                <w:highlight w:val="none"/>
              </w:rPr>
            </w:pPr>
            <w:r>
              <w:rPr>
                <w:rFonts w:hint="eastAsia" w:ascii="楷体_GB2312" w:eastAsia="楷体_GB2312"/>
                <w:szCs w:val="21"/>
                <w:highlight w:val="none"/>
              </w:rPr>
              <w:t>产品开放期</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楷体_GB2312" w:eastAsia="楷体_GB2312"/>
                <w:szCs w:val="21"/>
                <w:highlight w:val="none"/>
              </w:rPr>
            </w:pPr>
            <w:r>
              <w:rPr>
                <w:rFonts w:hint="eastAsia" w:ascii="楷体_GB2312" w:eastAsia="楷体_GB2312"/>
                <w:szCs w:val="21"/>
                <w:highlight w:val="none"/>
              </w:rPr>
              <w:t>首个开放日为2019年</w:t>
            </w:r>
            <w:r>
              <w:rPr>
                <w:rFonts w:hint="eastAsia" w:ascii="楷体_GB2312" w:eastAsia="楷体_GB2312"/>
                <w:szCs w:val="21"/>
                <w:highlight w:val="none"/>
                <w:lang w:val="en-US" w:eastAsia="zh-CN"/>
              </w:rPr>
              <w:t>12</w:t>
            </w:r>
            <w:r>
              <w:rPr>
                <w:rFonts w:hint="eastAsia" w:ascii="楷体_GB2312" w:eastAsia="楷体_GB2312"/>
                <w:szCs w:val="21"/>
                <w:highlight w:val="none"/>
              </w:rPr>
              <w:t>月</w:t>
            </w:r>
            <w:r>
              <w:rPr>
                <w:rFonts w:hint="eastAsia" w:ascii="楷体_GB2312" w:eastAsia="楷体_GB2312"/>
                <w:szCs w:val="21"/>
                <w:highlight w:val="none"/>
                <w:lang w:val="en-US" w:eastAsia="zh-CN"/>
              </w:rPr>
              <w:t>05</w:t>
            </w:r>
            <w:r>
              <w:rPr>
                <w:rFonts w:hint="eastAsia" w:ascii="楷体_GB2312" w:eastAsia="楷体_GB2312"/>
                <w:szCs w:val="21"/>
                <w:highlight w:val="none"/>
              </w:rPr>
              <w:t>日</w:t>
            </w:r>
            <w:r>
              <w:rPr>
                <w:rFonts w:hint="eastAsia" w:ascii="楷体_GB2312" w:eastAsia="楷体_GB2312"/>
                <w:szCs w:val="21"/>
                <w:highlight w:val="none"/>
                <w:lang w:eastAsia="zh-CN"/>
              </w:rPr>
              <w:t>（</w:t>
            </w:r>
            <w:r>
              <w:rPr>
                <w:rFonts w:hint="eastAsia" w:ascii="楷体_GB2312" w:eastAsia="楷体_GB2312"/>
                <w:szCs w:val="21"/>
                <w:highlight w:val="none"/>
              </w:rPr>
              <w:t>封闭期结束日下一工作日，之后的每日为本产品开放日，开放日可办理申购、赎回等交易（银行公告暂停开放的日期除外）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楷体_GB2312" w:eastAsia="楷体_GB2312"/>
                <w:szCs w:val="21"/>
                <w:highlight w:val="none"/>
              </w:rPr>
            </w:pPr>
            <w:r>
              <w:rPr>
                <w:rFonts w:hint="eastAsia" w:ascii="楷体_GB2312" w:eastAsia="楷体_GB2312"/>
                <w:szCs w:val="21"/>
                <w:highlight w:val="none"/>
              </w:rPr>
              <w:t>认购</w:t>
            </w:r>
            <w:r>
              <w:rPr>
                <w:rFonts w:hint="eastAsia" w:ascii="楷体_GB2312" w:eastAsia="楷体_GB2312"/>
                <w:szCs w:val="21"/>
                <w:highlight w:val="none"/>
                <w:lang w:val="en-US" w:eastAsia="zh-CN"/>
              </w:rPr>
              <w:t>/申购</w:t>
            </w:r>
            <w:r>
              <w:rPr>
                <w:rFonts w:hint="eastAsia" w:ascii="楷体_GB2312" w:eastAsia="楷体_GB2312"/>
                <w:szCs w:val="21"/>
                <w:highlight w:val="none"/>
              </w:rPr>
              <w:t>份额</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楷体_GB2312" w:eastAsia="楷体_GB2312"/>
                <w:szCs w:val="21"/>
                <w:highlight w:val="none"/>
              </w:rPr>
            </w:pPr>
            <w:r>
              <w:rPr>
                <w:rFonts w:hint="eastAsia" w:ascii="楷体_GB2312" w:eastAsia="楷体_GB2312"/>
                <w:szCs w:val="21"/>
                <w:highlight w:val="none"/>
              </w:rPr>
              <w:t>产品的单位净值为 1 元</w:t>
            </w:r>
            <w:r>
              <w:rPr>
                <w:rFonts w:hint="eastAsia" w:ascii="楷体_GB2312" w:eastAsia="楷体_GB2312"/>
                <w:szCs w:val="21"/>
                <w:highlight w:val="none"/>
                <w:lang w:val="en-US" w:eastAsia="zh-CN"/>
              </w:rPr>
              <w:t>/份</w:t>
            </w:r>
            <w:r>
              <w:rPr>
                <w:rFonts w:hint="eastAsia" w:ascii="楷体_GB2312" w:eastAsia="楷体_GB2312"/>
                <w:szCs w:val="21"/>
                <w:highlight w:val="none"/>
              </w:rPr>
              <w:t>。认/申购份额＝认/申购金额/1，认/申购份数保留至 0.01 份理财产品份额，小数点后两位以下四舍五入。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_GB2312" w:eastAsia="楷体_GB2312"/>
                <w:color w:val="auto"/>
                <w:szCs w:val="21"/>
                <w:highlight w:val="none"/>
                <w:lang w:eastAsia="zh-CN"/>
              </w:rPr>
            </w:pPr>
            <w:r>
              <w:rPr>
                <w:rFonts w:hint="eastAsia" w:ascii="楷体_GB2312" w:eastAsia="楷体_GB2312"/>
                <w:color w:val="auto"/>
                <w:szCs w:val="21"/>
                <w:highlight w:val="none"/>
                <w:lang w:eastAsia="zh-CN"/>
              </w:rPr>
              <w:t>赎回起点</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楷体_GB2312" w:eastAsia="楷体_GB2312"/>
                <w:color w:val="auto"/>
                <w:szCs w:val="21"/>
                <w:highlight w:val="none"/>
              </w:rPr>
            </w:pPr>
            <w:r>
              <w:rPr>
                <w:rFonts w:hint="eastAsia" w:ascii="楷体_GB2312" w:eastAsia="楷体_GB2312"/>
                <w:color w:val="auto"/>
                <w:szCs w:val="21"/>
                <w:highlight w:val="none"/>
              </w:rPr>
              <w:t>起点</w:t>
            </w:r>
            <w:r>
              <w:rPr>
                <w:rFonts w:hint="eastAsia" w:ascii="楷体_GB2312" w:eastAsia="楷体_GB2312"/>
                <w:color w:val="auto"/>
                <w:szCs w:val="21"/>
                <w:highlight w:val="none"/>
                <w:lang w:eastAsia="zh-CN"/>
              </w:rPr>
              <w:t>份额</w:t>
            </w:r>
            <w:r>
              <w:rPr>
                <w:rFonts w:hint="eastAsia" w:ascii="楷体_GB2312" w:eastAsia="楷体_GB2312"/>
                <w:color w:val="auto"/>
                <w:szCs w:val="21"/>
                <w:highlight w:val="none"/>
                <w:lang w:val="en-US" w:eastAsia="zh-CN"/>
              </w:rPr>
              <w:t>1000份</w:t>
            </w:r>
            <w:r>
              <w:rPr>
                <w:rFonts w:hint="eastAsia" w:ascii="楷体_GB2312" w:eastAsia="楷体_GB2312"/>
                <w:color w:val="auto"/>
                <w:szCs w:val="21"/>
                <w:highlight w:val="none"/>
              </w:rPr>
              <w:t>,以</w:t>
            </w:r>
            <w:r>
              <w:rPr>
                <w:rFonts w:hint="eastAsia" w:ascii="楷体_GB2312" w:eastAsia="楷体_GB2312"/>
                <w:color w:val="auto"/>
                <w:szCs w:val="21"/>
                <w:highlight w:val="none"/>
                <w:lang w:val="en-US" w:eastAsia="zh-CN"/>
              </w:rPr>
              <w:t>1000</w:t>
            </w:r>
            <w:r>
              <w:rPr>
                <w:rFonts w:hint="eastAsia" w:ascii="楷体_GB2312" w:eastAsia="楷体_GB2312"/>
                <w:color w:val="auto"/>
                <w:szCs w:val="21"/>
                <w:highlight w:val="none"/>
                <w:lang w:eastAsia="zh-CN"/>
              </w:rPr>
              <w:t>份</w:t>
            </w:r>
            <w:r>
              <w:rPr>
                <w:rFonts w:hint="eastAsia" w:ascii="楷体_GB2312" w:eastAsia="楷体_GB2312"/>
                <w:color w:val="auto"/>
                <w:szCs w:val="21"/>
                <w:highlight w:val="none"/>
              </w:rPr>
              <w:t>的整数倍递增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_GB2312" w:eastAsia="楷体_GB2312"/>
                <w:color w:val="auto"/>
                <w:szCs w:val="21"/>
                <w:highlight w:val="none"/>
                <w:lang w:eastAsia="zh-CN"/>
              </w:rPr>
            </w:pPr>
            <w:r>
              <w:rPr>
                <w:rFonts w:hint="eastAsia" w:ascii="楷体_GB2312" w:eastAsia="楷体_GB2312"/>
                <w:color w:val="auto"/>
                <w:szCs w:val="21"/>
                <w:highlight w:val="none"/>
                <w:lang w:eastAsia="zh-CN"/>
              </w:rPr>
              <w:t>赎回金额</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_GB2312" w:eastAsia="楷体_GB2312"/>
                <w:color w:val="auto"/>
                <w:szCs w:val="21"/>
                <w:highlight w:val="none"/>
                <w:lang w:eastAsia="zh-CN"/>
              </w:rPr>
            </w:pPr>
            <w:r>
              <w:rPr>
                <w:rFonts w:hint="eastAsia" w:ascii="楷体_GB2312" w:eastAsia="楷体_GB2312"/>
                <w:color w:val="auto"/>
                <w:szCs w:val="21"/>
                <w:highlight w:val="none"/>
              </w:rPr>
              <w:t>赎回金额＝赎回份额×1 元。赎回金额保留至小数点后两位，小数点后两位以下四舍五入。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_GB2312" w:eastAsia="楷体_GB2312"/>
                <w:color w:val="auto"/>
                <w:szCs w:val="21"/>
                <w:highlight w:val="none"/>
                <w:lang w:eastAsia="zh-CN"/>
              </w:rPr>
            </w:pPr>
            <w:r>
              <w:rPr>
                <w:rFonts w:hint="eastAsia" w:ascii="楷体_GB2312" w:eastAsia="楷体_GB2312"/>
                <w:color w:val="auto"/>
                <w:szCs w:val="21"/>
                <w:highlight w:val="none"/>
                <w:lang w:eastAsia="zh-CN"/>
              </w:rPr>
              <w:t>巨额赎回</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_GB2312" w:eastAsia="楷体_GB2312"/>
                <w:color w:val="auto"/>
                <w:szCs w:val="21"/>
                <w:highlight w:val="none"/>
                <w:lang w:val="en-US" w:eastAsia="zh-CN"/>
              </w:rPr>
            </w:pPr>
            <w:r>
              <w:rPr>
                <w:rFonts w:hint="eastAsia" w:ascii="楷体_GB2312" w:eastAsia="楷体_GB2312"/>
                <w:color w:val="auto"/>
                <w:szCs w:val="21"/>
                <w:highlight w:val="none"/>
                <w:lang w:eastAsia="zh-CN"/>
              </w:rPr>
              <w:t>单日净赎回份额合计超过上一工作日份额的</w:t>
            </w:r>
            <w:r>
              <w:rPr>
                <w:rFonts w:hint="eastAsia" w:ascii="楷体_GB2312" w:eastAsia="楷体_GB2312"/>
                <w:color w:val="auto"/>
                <w:szCs w:val="21"/>
                <w:highlight w:val="none"/>
                <w:lang w:val="en-US" w:eastAsia="zh-CN"/>
              </w:rPr>
              <w:t>10%，为巨额赎回。当出现巨额赎回时，产品管理人有权视资产组合状况决定暂停赎回或全部赎回。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_GB2312" w:eastAsia="楷体_GB2312"/>
                <w:color w:val="auto"/>
                <w:szCs w:val="21"/>
                <w:highlight w:val="none"/>
                <w:lang w:eastAsia="zh-CN"/>
              </w:rPr>
            </w:pPr>
            <w:r>
              <w:rPr>
                <w:rFonts w:hint="eastAsia" w:ascii="楷体_GB2312" w:eastAsia="楷体_GB2312"/>
                <w:color w:val="auto"/>
                <w:szCs w:val="21"/>
                <w:highlight w:val="none"/>
                <w:lang w:eastAsia="zh-CN"/>
              </w:rPr>
              <w:t>单位净值</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_GB2312" w:eastAsia="楷体_GB2312"/>
                <w:color w:val="auto"/>
                <w:szCs w:val="21"/>
                <w:highlight w:val="none"/>
                <w:lang w:eastAsia="zh-CN"/>
              </w:rPr>
            </w:pPr>
            <w:r>
              <w:rPr>
                <w:rFonts w:hint="eastAsia" w:ascii="楷体_GB2312" w:eastAsia="楷体_GB2312"/>
                <w:color w:val="auto"/>
                <w:szCs w:val="21"/>
                <w:highlight w:val="none"/>
                <w:lang w:eastAsia="zh-CN"/>
              </w:rPr>
              <w:t>本产品采用 1.00 元固定份额净值交易方式，自产品成立日起每日将实现的产品净收益（扣除相关费用后）以分红形式（或净损失）分配给理财产品持有人，使产品份额净值始终保持 1.00 元，并将该部分收益按照特定收益分配方式按月分配至客户理财账户。客户按1元固定份额净值进行申购、赎回和提前终止分配。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_GB2312" w:eastAsia="楷体_GB2312"/>
                <w:color w:val="auto"/>
                <w:szCs w:val="21"/>
                <w:highlight w:val="none"/>
                <w:lang w:eastAsia="zh-CN"/>
              </w:rPr>
            </w:pPr>
            <w:r>
              <w:rPr>
                <w:rFonts w:hint="eastAsia" w:ascii="楷体_GB2312" w:eastAsia="楷体_GB2312"/>
                <w:color w:val="auto"/>
                <w:szCs w:val="21"/>
                <w:highlight w:val="none"/>
                <w:lang w:eastAsia="zh-CN"/>
              </w:rPr>
              <w:t>每万份理财产品份额已实现收益</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_GB2312" w:eastAsia="楷体_GB2312"/>
                <w:color w:val="auto"/>
                <w:szCs w:val="21"/>
                <w:highlight w:val="none"/>
                <w:lang w:eastAsia="zh-CN"/>
              </w:rPr>
            </w:pPr>
            <w:r>
              <w:rPr>
                <w:rFonts w:hint="eastAsia" w:ascii="楷体_GB2312" w:eastAsia="楷体_GB2312"/>
                <w:color w:val="auto"/>
                <w:szCs w:val="21"/>
                <w:highlight w:val="none"/>
                <w:lang w:eastAsia="zh-CN"/>
              </w:rPr>
              <w:t>指每万份理财产品份额的日已实现收益，精确至小数点后第 4 位，小数点后第 5 位按去尾原则处理。</w:t>
            </w:r>
          </w:p>
          <w:p>
            <w:pPr>
              <w:spacing w:line="360" w:lineRule="exact"/>
              <w:rPr>
                <w:rFonts w:hint="eastAsia" w:ascii="楷体_GB2312" w:eastAsia="楷体_GB2312"/>
                <w:color w:val="auto"/>
                <w:szCs w:val="21"/>
                <w:highlight w:val="none"/>
                <w:lang w:eastAsia="zh-CN"/>
              </w:rPr>
            </w:pPr>
            <w:r>
              <w:rPr>
                <w:rFonts w:hint="eastAsia" w:ascii="楷体_GB2312" w:eastAsia="楷体_GB2312"/>
                <w:color w:val="auto"/>
                <w:szCs w:val="21"/>
                <w:highlight w:val="none"/>
                <w:lang w:eastAsia="zh-CN"/>
              </w:rPr>
              <w:t>每万份理财产品已实现收益＝当日理财产品份额已实现收益÷当日理财产品份额×10000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8"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_GB2312" w:eastAsia="楷体_GB2312"/>
                <w:color w:val="auto"/>
                <w:szCs w:val="21"/>
                <w:highlight w:val="none"/>
                <w:lang w:eastAsia="zh-CN"/>
              </w:rPr>
            </w:pPr>
            <w:r>
              <w:rPr>
                <w:rFonts w:hint="eastAsia" w:ascii="楷体_GB2312" w:eastAsia="楷体_GB2312"/>
                <w:color w:val="auto"/>
                <w:szCs w:val="21"/>
                <w:highlight w:val="none"/>
                <w:lang w:eastAsia="zh-CN"/>
              </w:rPr>
              <w:t>七日年化收益率</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_GB2312" w:eastAsia="楷体_GB2312"/>
                <w:color w:val="auto"/>
                <w:szCs w:val="21"/>
                <w:highlight w:val="none"/>
                <w:lang w:eastAsia="zh-CN"/>
              </w:rPr>
            </w:pPr>
            <w:r>
              <w:rPr>
                <w:rFonts w:hint="eastAsia" w:ascii="楷体_GB2312" w:eastAsia="楷体_GB2312"/>
                <w:color w:val="auto"/>
                <w:szCs w:val="21"/>
                <w:highlight w:val="none"/>
                <w:lang w:eastAsia="zh-CN"/>
              </w:rPr>
              <w:t>指以本产品最近七日（含节假日）收益率所折算的产品年化收益率。产品成立不满七日时以实际日平均收益率折算年收益率。</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楷体_GB2312" w:eastAsia="楷体_GB2312"/>
                <w:color w:val="auto"/>
                <w:szCs w:val="21"/>
                <w:highlight w:val="none"/>
                <w:lang w:eastAsia="zh-CN"/>
              </w:rPr>
            </w:pPr>
            <w:r>
              <w:rPr>
                <w:rFonts w:hint="eastAsia" w:ascii="楷体_GB2312" w:eastAsia="楷体_GB2312"/>
                <w:color w:val="auto"/>
                <w:szCs w:val="21"/>
                <w:highlight w:val="none"/>
                <w:lang w:eastAsia="zh-CN"/>
              </w:rPr>
              <w:t>7日年化收益率（%）=[（</w:t>
            </w:r>
            <w:r>
              <w:rPr>
                <w:color w:val="auto"/>
                <w:highlight w:val="none"/>
              </w:rPr>
              <w:drawing>
                <wp:inline distT="0" distB="0" distL="114300" distR="114300">
                  <wp:extent cx="410210" cy="323850"/>
                  <wp:effectExtent l="0" t="0" r="8890"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5"/>
                          <a:stretch>
                            <a:fillRect/>
                          </a:stretch>
                        </pic:blipFill>
                        <pic:spPr>
                          <a:xfrm>
                            <a:off x="0" y="0"/>
                            <a:ext cx="410210" cy="323850"/>
                          </a:xfrm>
                          <a:prstGeom prst="rect">
                            <a:avLst/>
                          </a:prstGeom>
                          <a:noFill/>
                          <a:ln w="9525">
                            <a:noFill/>
                          </a:ln>
                        </pic:spPr>
                      </pic:pic>
                    </a:graphicData>
                  </a:graphic>
                </wp:inline>
              </w:drawing>
            </w:r>
            <w:r>
              <w:rPr>
                <w:rFonts w:hint="eastAsia" w:ascii="楷体_GB2312" w:eastAsia="楷体_GB2312"/>
                <w:color w:val="auto"/>
                <w:szCs w:val="21"/>
                <w:highlight w:val="none"/>
                <w:lang w:eastAsia="zh-CN"/>
              </w:rPr>
              <w:t>）×365/10000]×100%</w:t>
            </w:r>
          </w:p>
          <w:p>
            <w:pPr>
              <w:spacing w:line="360" w:lineRule="exact"/>
              <w:rPr>
                <w:rFonts w:hint="eastAsia" w:ascii="楷体_GB2312" w:eastAsia="楷体_GB2312"/>
                <w:color w:val="auto"/>
                <w:szCs w:val="21"/>
                <w:highlight w:val="none"/>
                <w:lang w:eastAsia="zh-CN"/>
              </w:rPr>
            </w:pPr>
            <w:r>
              <w:rPr>
                <w:rFonts w:hint="eastAsia" w:ascii="楷体_GB2312" w:eastAsia="楷体_GB2312"/>
                <w:color w:val="auto"/>
                <w:szCs w:val="21"/>
                <w:highlight w:val="none"/>
                <w:lang w:eastAsia="zh-CN"/>
              </w:rPr>
              <w:t>其中，Ri 为最近第 i 个自然日(包括计算当日)的每万份理财产品已实现收益。</w:t>
            </w:r>
          </w:p>
          <w:p>
            <w:pPr>
              <w:spacing w:line="360" w:lineRule="exact"/>
              <w:rPr>
                <w:rFonts w:hint="eastAsia" w:ascii="楷体_GB2312" w:eastAsia="楷体_GB2312"/>
                <w:color w:val="auto"/>
                <w:szCs w:val="21"/>
                <w:highlight w:val="none"/>
                <w:lang w:eastAsia="zh-CN"/>
              </w:rPr>
            </w:pPr>
            <w:r>
              <w:rPr>
                <w:rFonts w:hint="eastAsia" w:ascii="楷体_GB2312" w:eastAsia="楷体_GB2312"/>
                <w:color w:val="auto"/>
                <w:szCs w:val="21"/>
                <w:highlight w:val="none"/>
                <w:lang w:eastAsia="zh-CN"/>
              </w:rPr>
              <w:t>7 日年化收益率采用四舍五入保留至百分号内小数点后 2 位。</w:t>
            </w:r>
          </w:p>
          <w:p>
            <w:pPr>
              <w:spacing w:line="360" w:lineRule="exact"/>
              <w:rPr>
                <w:rFonts w:hint="eastAsia" w:ascii="楷体_GB2312" w:eastAsia="楷体_GB2312"/>
                <w:color w:val="auto"/>
                <w:szCs w:val="21"/>
                <w:highlight w:val="none"/>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_GB2312" w:eastAsia="楷体_GB2312"/>
                <w:color w:val="auto"/>
                <w:szCs w:val="21"/>
                <w:highlight w:val="none"/>
                <w:lang w:eastAsia="zh-CN"/>
              </w:rPr>
            </w:pPr>
            <w:r>
              <w:rPr>
                <w:rFonts w:hint="eastAsia" w:ascii="楷体_GB2312" w:eastAsia="楷体_GB2312"/>
                <w:color w:val="auto"/>
                <w:szCs w:val="21"/>
                <w:highlight w:val="none"/>
                <w:lang w:eastAsia="zh-CN"/>
              </w:rPr>
              <w:t>收益分配日</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_GB2312" w:eastAsia="楷体_GB2312"/>
                <w:color w:val="auto"/>
                <w:szCs w:val="21"/>
                <w:highlight w:val="none"/>
                <w:lang w:eastAsia="zh-CN"/>
              </w:rPr>
            </w:pPr>
            <w:r>
              <w:rPr>
                <w:rFonts w:hint="eastAsia" w:ascii="楷体_GB2312" w:eastAsia="楷体_GB2312"/>
                <w:color w:val="auto"/>
                <w:szCs w:val="21"/>
                <w:highlight w:val="none"/>
                <w:lang w:eastAsia="zh-CN"/>
              </w:rPr>
              <w:t>每月</w:t>
            </w:r>
            <w:r>
              <w:rPr>
                <w:rFonts w:hint="eastAsia" w:ascii="楷体_GB2312" w:eastAsia="楷体_GB2312"/>
                <w:color w:val="auto"/>
                <w:szCs w:val="21"/>
                <w:highlight w:val="none"/>
                <w:lang w:val="en-US" w:eastAsia="zh-CN"/>
              </w:rPr>
              <w:t>20</w:t>
            </w:r>
            <w:r>
              <w:rPr>
                <w:rFonts w:hint="eastAsia" w:ascii="楷体_GB2312" w:eastAsia="楷体_GB2312"/>
                <w:color w:val="auto"/>
                <w:szCs w:val="21"/>
                <w:highlight w:val="none"/>
                <w:lang w:eastAsia="zh-CN"/>
              </w:rPr>
              <w:t>日（遇节假日顺延）。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_GB2312" w:eastAsia="楷体_GB2312"/>
                <w:color w:val="auto"/>
                <w:sz w:val="21"/>
                <w:szCs w:val="21"/>
                <w:highlight w:val="none"/>
                <w:lang w:eastAsia="zh-CN"/>
              </w:rPr>
            </w:pPr>
            <w:r>
              <w:rPr>
                <w:rFonts w:hint="eastAsia" w:ascii="楷体_GB2312" w:eastAsia="楷体_GB2312"/>
                <w:color w:val="auto"/>
                <w:sz w:val="21"/>
                <w:szCs w:val="21"/>
                <w:highlight w:val="none"/>
                <w:lang w:eastAsia="zh-CN"/>
              </w:rPr>
              <w:t>收益分配方式</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楷体_GB2312" w:eastAsia="楷体_GB2312"/>
                <w:color w:val="auto"/>
                <w:sz w:val="21"/>
                <w:szCs w:val="21"/>
                <w:highlight w:val="none"/>
              </w:rPr>
            </w:pPr>
            <w:r>
              <w:rPr>
                <w:rFonts w:hint="eastAsia" w:ascii="楷体_GB2312" w:eastAsia="楷体_GB2312"/>
                <w:color w:val="auto"/>
                <w:sz w:val="21"/>
                <w:szCs w:val="21"/>
                <w:highlight w:val="none"/>
                <w:lang w:eastAsia="zh-CN"/>
              </w:rPr>
              <w:t>现金分红（不计复利）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楷体_GB2312" w:eastAsia="楷体_GB2312"/>
                <w:color w:val="auto"/>
                <w:szCs w:val="21"/>
                <w:highlight w:val="none"/>
              </w:rPr>
            </w:pPr>
            <w:r>
              <w:rPr>
                <w:rFonts w:hint="eastAsia" w:ascii="楷体_GB2312" w:eastAsia="楷体_GB2312"/>
                <w:color w:val="auto"/>
                <w:szCs w:val="21"/>
                <w:highlight w:val="none"/>
              </w:rPr>
              <w:t>计费方式</w:t>
            </w:r>
          </w:p>
        </w:tc>
        <w:tc>
          <w:tcPr>
            <w:tcW w:w="796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exact"/>
              <w:rPr>
                <w:rFonts w:hint="eastAsia" w:ascii="楷体_GB2312" w:eastAsia="楷体_GB2312"/>
                <w:color w:val="auto"/>
                <w:szCs w:val="21"/>
                <w:highlight w:val="none"/>
                <w:lang w:eastAsia="zh-CN"/>
              </w:rPr>
            </w:pPr>
            <w:r>
              <w:rPr>
                <w:rFonts w:hint="eastAsia" w:ascii="楷体_GB2312" w:eastAsia="楷体_GB2312"/>
                <w:color w:val="auto"/>
                <w:szCs w:val="21"/>
                <w:highlight w:val="none"/>
                <w:lang w:eastAsia="zh-CN"/>
              </w:rPr>
              <w:t>本产品无认/申购费、赎回费；</w:t>
            </w:r>
          </w:p>
          <w:p>
            <w:pPr>
              <w:numPr>
                <w:ilvl w:val="0"/>
                <w:numId w:val="1"/>
              </w:numPr>
              <w:spacing w:line="360" w:lineRule="exact"/>
              <w:rPr>
                <w:rFonts w:hint="eastAsia" w:ascii="楷体_GB2312" w:eastAsia="楷体_GB2312"/>
                <w:color w:val="auto"/>
                <w:szCs w:val="21"/>
                <w:highlight w:val="none"/>
                <w:lang w:eastAsia="zh-CN"/>
              </w:rPr>
            </w:pPr>
            <w:r>
              <w:rPr>
                <w:rFonts w:hint="eastAsia" w:ascii="楷体_GB2312" w:eastAsia="楷体_GB2312"/>
                <w:color w:val="auto"/>
                <w:szCs w:val="21"/>
                <w:highlight w:val="none"/>
                <w:lang w:eastAsia="zh-CN"/>
              </w:rPr>
              <w:t>产品托管费</w:t>
            </w:r>
            <w:r>
              <w:rPr>
                <w:rFonts w:hint="eastAsia" w:ascii="楷体_GB2312" w:eastAsia="楷体_GB2312"/>
                <w:color w:val="auto"/>
                <w:szCs w:val="21"/>
                <w:highlight w:val="none"/>
                <w:lang w:eastAsia="zh-CN"/>
              </w:rPr>
              <w:t>：</w:t>
            </w:r>
            <w:r>
              <w:rPr>
                <w:rFonts w:hint="eastAsia" w:ascii="楷体_GB2312" w:eastAsia="楷体_GB2312"/>
                <w:color w:val="auto"/>
                <w:szCs w:val="21"/>
                <w:highlight w:val="none"/>
                <w:lang w:eastAsia="zh-CN"/>
              </w:rPr>
              <w:t>0.0</w:t>
            </w:r>
            <w:r>
              <w:rPr>
                <w:rFonts w:hint="eastAsia" w:ascii="楷体_GB2312" w:eastAsia="楷体_GB2312"/>
                <w:color w:val="auto"/>
                <w:szCs w:val="21"/>
                <w:highlight w:val="none"/>
                <w:lang w:val="en-US" w:eastAsia="zh-CN"/>
              </w:rPr>
              <w:t>05</w:t>
            </w:r>
            <w:r>
              <w:rPr>
                <w:rFonts w:hint="eastAsia" w:ascii="楷体_GB2312" w:eastAsia="楷体_GB2312"/>
                <w:color w:val="auto"/>
                <w:szCs w:val="21"/>
                <w:highlight w:val="none"/>
                <w:lang w:eastAsia="zh-CN"/>
              </w:rPr>
              <w:t>%（年）；</w:t>
            </w:r>
          </w:p>
          <w:p>
            <w:pPr>
              <w:numPr>
                <w:ilvl w:val="0"/>
                <w:numId w:val="1"/>
              </w:numPr>
              <w:spacing w:line="360" w:lineRule="exact"/>
              <w:rPr>
                <w:rFonts w:hint="eastAsia" w:ascii="楷体_GB2312" w:eastAsia="楷体_GB2312"/>
                <w:color w:val="auto"/>
                <w:szCs w:val="21"/>
                <w:highlight w:val="none"/>
                <w:lang w:eastAsia="zh-CN"/>
              </w:rPr>
            </w:pPr>
            <w:r>
              <w:rPr>
                <w:rFonts w:hint="eastAsia" w:ascii="楷体_GB2312" w:eastAsia="楷体_GB2312"/>
                <w:color w:val="auto"/>
                <w:szCs w:val="21"/>
                <w:highlight w:val="none"/>
                <w:lang w:eastAsia="zh-CN"/>
              </w:rPr>
              <w:t>估值服务费：</w:t>
            </w:r>
            <w:r>
              <w:rPr>
                <w:rFonts w:hint="eastAsia" w:ascii="楷体_GB2312" w:eastAsia="楷体_GB2312"/>
                <w:color w:val="auto"/>
                <w:szCs w:val="21"/>
                <w:highlight w:val="none"/>
                <w:lang w:val="en-US" w:eastAsia="zh-CN"/>
              </w:rPr>
              <w:t>0.005%（年）；</w:t>
            </w:r>
          </w:p>
          <w:p>
            <w:pPr>
              <w:autoSpaceDE w:val="0"/>
              <w:autoSpaceDN w:val="0"/>
              <w:adjustRightInd w:val="0"/>
              <w:spacing w:line="360" w:lineRule="exact"/>
              <w:rPr>
                <w:rFonts w:hint="eastAsia" w:ascii="楷体_GB2312" w:eastAsia="楷体_GB2312"/>
                <w:color w:val="auto"/>
                <w:szCs w:val="21"/>
                <w:highlight w:val="none"/>
                <w:lang w:val="en-US" w:eastAsia="zh-CN"/>
              </w:rPr>
            </w:pPr>
            <w:r>
              <w:rPr>
                <w:rFonts w:hint="eastAsia" w:ascii="楷体_GB2312" w:eastAsia="楷体_GB2312"/>
                <w:color w:val="auto"/>
                <w:szCs w:val="21"/>
                <w:highlight w:val="none"/>
                <w:lang w:eastAsia="zh-CN"/>
              </w:rPr>
              <w:t>（</w:t>
            </w:r>
            <w:r>
              <w:rPr>
                <w:rFonts w:hint="eastAsia" w:ascii="楷体_GB2312" w:eastAsia="楷体_GB2312"/>
                <w:color w:val="auto"/>
                <w:szCs w:val="21"/>
                <w:highlight w:val="none"/>
                <w:lang w:val="en-US" w:eastAsia="zh-CN"/>
              </w:rPr>
              <w:t>4</w:t>
            </w:r>
            <w:r>
              <w:rPr>
                <w:rFonts w:hint="eastAsia" w:ascii="楷体_GB2312" w:eastAsia="楷体_GB2312"/>
                <w:color w:val="auto"/>
                <w:szCs w:val="21"/>
                <w:highlight w:val="none"/>
                <w:lang w:eastAsia="zh-CN"/>
              </w:rPr>
              <w:t>）固定管理费：0.</w:t>
            </w:r>
            <w:r>
              <w:rPr>
                <w:rFonts w:hint="eastAsia" w:ascii="楷体_GB2312" w:eastAsia="楷体_GB2312"/>
                <w:color w:val="auto"/>
                <w:szCs w:val="21"/>
                <w:highlight w:val="none"/>
                <w:lang w:val="en-US" w:eastAsia="zh-CN"/>
              </w:rPr>
              <w:t>3</w:t>
            </w:r>
            <w:r>
              <w:rPr>
                <w:rFonts w:hint="eastAsia" w:ascii="楷体_GB2312" w:eastAsia="楷体_GB2312"/>
                <w:color w:val="auto"/>
                <w:szCs w:val="21"/>
                <w:highlight w:val="none"/>
                <w:lang w:eastAsia="zh-CN"/>
              </w:rPr>
              <w:t>%（年）</w:t>
            </w:r>
            <w:r>
              <w:rPr>
                <w:rFonts w:hint="eastAsia" w:ascii="楷体_GB2312" w:eastAsia="楷体_GB2312"/>
                <w:color w:val="auto"/>
                <w:szCs w:val="21"/>
                <w:highlight w:val="none"/>
                <w:lang w:val="en-US" w:eastAsia="zh-CN"/>
              </w:rPr>
              <w:t>,</w:t>
            </w:r>
            <w:r>
              <w:rPr>
                <w:rFonts w:hint="eastAsia" w:ascii="楷体_GB2312" w:eastAsia="楷体_GB2312"/>
                <w:szCs w:val="21"/>
                <w:highlight w:val="none"/>
              </w:rPr>
              <w:t>若投资资产组合净值扣除产品托管费</w:t>
            </w:r>
            <w:r>
              <w:rPr>
                <w:rFonts w:hint="eastAsia" w:ascii="楷体_GB2312" w:eastAsia="楷体_GB2312"/>
                <w:szCs w:val="21"/>
                <w:highlight w:val="none"/>
                <w:lang w:eastAsia="zh-CN"/>
              </w:rPr>
              <w:t>、</w:t>
            </w:r>
            <w:r>
              <w:rPr>
                <w:rFonts w:hint="eastAsia" w:ascii="楷体_GB2312" w:eastAsia="楷体_GB2312"/>
                <w:szCs w:val="21"/>
                <w:highlight w:val="none"/>
                <w:lang w:val="en-US" w:eastAsia="zh-CN"/>
              </w:rPr>
              <w:t>估值服务费</w:t>
            </w:r>
            <w:r>
              <w:rPr>
                <w:rFonts w:hint="eastAsia" w:ascii="楷体_GB2312" w:eastAsia="楷体_GB2312"/>
                <w:szCs w:val="21"/>
                <w:highlight w:val="none"/>
              </w:rPr>
              <w:t>等相关费用后，</w:t>
            </w:r>
            <w:r>
              <w:rPr>
                <w:rFonts w:hint="eastAsia" w:ascii="楷体_GB2312" w:eastAsia="楷体_GB2312"/>
                <w:szCs w:val="21"/>
                <w:highlight w:val="none"/>
                <w:lang w:eastAsia="zh-CN"/>
              </w:rPr>
              <w:t>客户获得收益为负</w:t>
            </w:r>
            <w:r>
              <w:rPr>
                <w:rFonts w:hint="eastAsia" w:ascii="楷体_GB2312" w:eastAsia="楷体_GB2312"/>
                <w:szCs w:val="21"/>
                <w:highlight w:val="none"/>
              </w:rPr>
              <w:t>，则</w:t>
            </w:r>
            <w:r>
              <w:rPr>
                <w:rFonts w:hint="eastAsia" w:ascii="楷体_GB2312" w:eastAsia="楷体_GB2312"/>
                <w:szCs w:val="21"/>
                <w:highlight w:val="none"/>
                <w:lang w:eastAsia="zh-CN"/>
              </w:rPr>
              <w:t>银行</w:t>
            </w:r>
            <w:r>
              <w:rPr>
                <w:rFonts w:hint="eastAsia" w:ascii="楷体_GB2312" w:eastAsia="楷体_GB2312"/>
                <w:szCs w:val="21"/>
                <w:highlight w:val="none"/>
              </w:rPr>
              <w:t>有权减免收取相应固定管理费；</w:t>
            </w:r>
          </w:p>
          <w:p>
            <w:pPr>
              <w:spacing w:line="360" w:lineRule="exact"/>
              <w:rPr>
                <w:rFonts w:ascii="楷体_GB2312" w:eastAsia="楷体_GB2312"/>
                <w:color w:val="auto"/>
                <w:szCs w:val="21"/>
                <w:highlight w:val="none"/>
              </w:rPr>
            </w:pPr>
            <w:r>
              <w:rPr>
                <w:rFonts w:hint="eastAsia" w:ascii="楷体_GB2312" w:eastAsia="楷体_GB2312"/>
                <w:color w:val="auto"/>
                <w:szCs w:val="21"/>
                <w:highlight w:val="none"/>
                <w:lang w:eastAsia="zh-CN"/>
              </w:rPr>
              <w:t>（</w:t>
            </w:r>
            <w:r>
              <w:rPr>
                <w:rFonts w:hint="eastAsia" w:ascii="楷体_GB2312" w:eastAsia="楷体_GB2312"/>
                <w:color w:val="auto"/>
                <w:szCs w:val="21"/>
                <w:highlight w:val="none"/>
                <w:lang w:val="en-US" w:eastAsia="zh-CN"/>
              </w:rPr>
              <w:t>5</w:t>
            </w:r>
            <w:r>
              <w:rPr>
                <w:rFonts w:hint="eastAsia" w:ascii="楷体_GB2312" w:eastAsia="楷体_GB2312"/>
                <w:color w:val="auto"/>
                <w:szCs w:val="21"/>
                <w:highlight w:val="none"/>
                <w:lang w:eastAsia="zh-CN"/>
              </w:rPr>
              <w:t>）其他相关税费：本产品依据国家当前有关法律、法规、规章、政策等进行税务处理，理财产品运营过程中发生的应税行为，以理财产品管理人为纳税人。签约各方同意本理财产品运营过程中应缴纳的税费由管理人从理财产品财产中支付，并由管理人根据国家税务机关要求，履行相关纳税申报义务，由此可能会使理财产品净值或实际收益率降低，请投资者悉知。投资者从理财产品取得的收益应缴纳的税款，由投资者自行申报及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楷体_GB2312" w:eastAsia="楷体_GB2312"/>
                <w:color w:val="auto"/>
                <w:szCs w:val="21"/>
                <w:highlight w:val="none"/>
              </w:rPr>
            </w:pPr>
            <w:r>
              <w:rPr>
                <w:rFonts w:hint="eastAsia" w:ascii="楷体_GB2312" w:eastAsia="楷体_GB2312"/>
                <w:color w:val="auto"/>
                <w:szCs w:val="21"/>
                <w:highlight w:val="none"/>
              </w:rPr>
              <w:t>投资管理人</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楷体_GB2312" w:eastAsia="楷体_GB2312"/>
                <w:color w:val="auto"/>
                <w:szCs w:val="21"/>
                <w:highlight w:val="none"/>
              </w:rPr>
            </w:pPr>
            <w:r>
              <w:rPr>
                <w:rFonts w:hint="eastAsia" w:ascii="楷体_GB2312" w:eastAsia="楷体_GB2312"/>
                <w:color w:val="auto"/>
                <w:szCs w:val="21"/>
                <w:highlight w:val="none"/>
              </w:rPr>
              <w:t>张家港农村商业银行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楷体_GB2312" w:eastAsia="楷体_GB2312"/>
                <w:color w:val="auto"/>
                <w:szCs w:val="21"/>
                <w:highlight w:val="none"/>
              </w:rPr>
            </w:pPr>
            <w:r>
              <w:rPr>
                <w:rFonts w:hint="eastAsia" w:ascii="楷体_GB2312" w:eastAsia="楷体_GB2312"/>
                <w:color w:val="auto"/>
                <w:szCs w:val="21"/>
                <w:highlight w:val="none"/>
              </w:rPr>
              <w:t>理财资产托管人</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_GB2312" w:eastAsia="楷体_GB2312"/>
                <w:color w:val="auto"/>
                <w:szCs w:val="21"/>
                <w:highlight w:val="none"/>
                <w:lang w:eastAsia="zh-CN"/>
              </w:rPr>
            </w:pPr>
            <w:r>
              <w:rPr>
                <w:rFonts w:hint="eastAsia" w:ascii="楷体_GB2312" w:eastAsia="楷体_GB2312"/>
                <w:color w:val="auto"/>
                <w:szCs w:val="21"/>
                <w:highlight w:val="none"/>
                <w:lang w:eastAsia="zh-CN"/>
              </w:rPr>
              <w:t>宁波银行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楷体_GB2312" w:eastAsia="楷体_GB2312"/>
                <w:color w:val="auto"/>
                <w:szCs w:val="21"/>
                <w:highlight w:val="none"/>
              </w:rPr>
            </w:pPr>
            <w:r>
              <w:rPr>
                <w:rFonts w:hint="eastAsia" w:ascii="楷体_GB2312" w:eastAsia="楷体_GB2312"/>
                <w:color w:val="auto"/>
                <w:szCs w:val="21"/>
                <w:highlight w:val="none"/>
              </w:rPr>
              <w:t>发售渠道</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楷体_GB2312" w:eastAsia="楷体_GB2312"/>
                <w:color w:val="auto"/>
                <w:szCs w:val="21"/>
                <w:highlight w:val="none"/>
              </w:rPr>
            </w:pPr>
            <w:r>
              <w:rPr>
                <w:rFonts w:hint="eastAsia" w:ascii="楷体_GB2312" w:eastAsia="楷体_GB2312"/>
                <w:color w:val="auto"/>
                <w:szCs w:val="21"/>
                <w:highlight w:val="none"/>
              </w:rPr>
              <w:t>张家港农村商业银行下属各营业网点（包括但不限于银行柜面、网上银行、手机银行等渠道）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楷体_GB2312" w:eastAsia="楷体_GB2312"/>
                <w:color w:val="auto"/>
                <w:szCs w:val="21"/>
                <w:highlight w:val="none"/>
              </w:rPr>
            </w:pPr>
            <w:r>
              <w:rPr>
                <w:rFonts w:hint="eastAsia" w:ascii="楷体_GB2312" w:eastAsia="楷体_GB2312"/>
                <w:color w:val="auto"/>
                <w:szCs w:val="21"/>
                <w:highlight w:val="none"/>
              </w:rPr>
              <w:t>风险提示</w:t>
            </w:r>
          </w:p>
        </w:tc>
        <w:tc>
          <w:tcPr>
            <w:tcW w:w="79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楷体_GB2312" w:eastAsia="楷体_GB2312"/>
                <w:color w:val="auto"/>
                <w:szCs w:val="21"/>
                <w:highlight w:val="none"/>
              </w:rPr>
            </w:pPr>
            <w:r>
              <w:rPr>
                <w:rFonts w:hint="eastAsia" w:ascii="楷体_GB2312" w:eastAsia="楷体_GB2312"/>
                <w:color w:val="auto"/>
                <w:szCs w:val="21"/>
                <w:highlight w:val="none"/>
              </w:rPr>
              <w:t>投资资产的市场风险和国家政策风险将影响客户的投资收益水平，具体详见风险揭示书。</w:t>
            </w:r>
          </w:p>
        </w:tc>
      </w:tr>
    </w:tbl>
    <w:p>
      <w:pPr>
        <w:spacing w:line="360" w:lineRule="exact"/>
        <w:rPr>
          <w:color w:val="auto"/>
          <w:highlight w:val="none"/>
        </w:rPr>
      </w:pPr>
    </w:p>
    <w:p>
      <w:pPr>
        <w:numPr>
          <w:ilvl w:val="255"/>
          <w:numId w:val="0"/>
        </w:numPr>
        <w:spacing w:line="360" w:lineRule="exact"/>
        <w:ind w:firstLine="565" w:firstLineChars="201"/>
        <w:rPr>
          <w:rFonts w:ascii="楷体_GB2312" w:eastAsia="楷体_GB2312"/>
          <w:b/>
          <w:bCs/>
          <w:color w:val="auto"/>
          <w:sz w:val="28"/>
          <w:szCs w:val="28"/>
          <w:highlight w:val="none"/>
        </w:rPr>
      </w:pPr>
      <w:r>
        <w:rPr>
          <w:rFonts w:hint="eastAsia" w:ascii="楷体_GB2312" w:eastAsia="楷体_GB2312"/>
          <w:b/>
          <w:bCs/>
          <w:color w:val="auto"/>
          <w:sz w:val="28"/>
          <w:szCs w:val="28"/>
          <w:highlight w:val="none"/>
        </w:rPr>
        <w:t>二、资产配置</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楷体_GB2312" w:eastAsia="楷体_GB2312"/>
          <w:color w:val="auto"/>
          <w:szCs w:val="21"/>
          <w:highlight w:val="none"/>
          <w:lang w:val="en-US" w:eastAsia="zh-CN"/>
        </w:rPr>
      </w:pPr>
      <w:r>
        <w:rPr>
          <w:rFonts w:hint="eastAsia" w:ascii="楷体_GB2312" w:eastAsia="楷体_GB2312"/>
          <w:color w:val="auto"/>
          <w:szCs w:val="21"/>
          <w:highlight w:val="none"/>
        </w:rPr>
        <w:t>本理财产品的杠杆水平不超过140%，且投资于符合监管要求的固定收益类资产，包括但不限于</w:t>
      </w:r>
      <w:r>
        <w:rPr>
          <w:rFonts w:hint="eastAsia" w:ascii="楷体_GB2312" w:eastAsia="楷体_GB2312"/>
          <w:color w:val="auto"/>
          <w:szCs w:val="21"/>
          <w:highlight w:val="none"/>
          <w:lang w:eastAsia="zh-CN"/>
        </w:rPr>
        <w:t>现金、</w:t>
      </w:r>
      <w:r>
        <w:rPr>
          <w:rFonts w:hint="eastAsia" w:ascii="楷体_GB2312" w:eastAsia="楷体_GB2312"/>
          <w:color w:val="auto"/>
          <w:szCs w:val="21"/>
          <w:highlight w:val="none"/>
        </w:rPr>
        <w:t>银行存款、</w:t>
      </w:r>
      <w:r>
        <w:rPr>
          <w:rFonts w:hint="eastAsia" w:ascii="楷体_GB2312" w:eastAsia="楷体_GB2312"/>
          <w:color w:val="auto"/>
          <w:szCs w:val="21"/>
          <w:highlight w:val="none"/>
          <w:lang w:eastAsia="zh-CN"/>
        </w:rPr>
        <w:t>同业借款、</w:t>
      </w:r>
      <w:r>
        <w:rPr>
          <w:rFonts w:hint="eastAsia" w:ascii="楷体_GB2312" w:eastAsia="楷体_GB2312"/>
          <w:color w:val="auto"/>
          <w:szCs w:val="21"/>
          <w:highlight w:val="none"/>
        </w:rPr>
        <w:t>大额存单、同业存单（CD）、短期融资券、超短期融资券、债券回购、货币市场基金</w:t>
      </w:r>
      <w:r>
        <w:rPr>
          <w:rFonts w:hint="eastAsia" w:ascii="楷体_GB2312" w:eastAsia="楷体_GB2312"/>
          <w:color w:val="auto"/>
          <w:szCs w:val="21"/>
          <w:highlight w:val="none"/>
          <w:lang w:eastAsia="zh-CN"/>
        </w:rPr>
        <w:t>等货币市场工具；</w:t>
      </w:r>
      <w:r>
        <w:rPr>
          <w:rFonts w:hint="eastAsia" w:ascii="楷体_GB2312" w:eastAsia="楷体_GB2312"/>
          <w:color w:val="auto"/>
          <w:szCs w:val="21"/>
          <w:highlight w:val="none"/>
        </w:rPr>
        <w:t>国债、地方政府债、金融债、央行票据、中期票据、企业债、公司债（含交易所非公开公司债券）、交易所专项债券、非公开定向债务融资工具（PPN）、资产支持证券、抵押支持证券、次级债券、二级资本债券、可转换债券、可交换债券、中小企业集合票据、资产支持票据、信贷资产支持证券、收（受）益权凭证、项目收益债券、项目收益票据（PRN）、理财直接融资工具、债权融资计划以及中国银保监会允许理财产品投资的其他债券</w:t>
      </w:r>
      <w:r>
        <w:rPr>
          <w:rFonts w:hint="eastAsia" w:ascii="楷体_GB2312" w:eastAsia="楷体_GB2312"/>
          <w:color w:val="auto"/>
          <w:szCs w:val="21"/>
          <w:highlight w:val="none"/>
          <w:lang w:eastAsia="zh-CN"/>
        </w:rPr>
        <w:t>类资产；</w:t>
      </w:r>
      <w:r>
        <w:rPr>
          <w:rFonts w:hint="eastAsia" w:ascii="楷体_GB2312" w:eastAsia="楷体_GB2312"/>
          <w:color w:val="auto"/>
          <w:szCs w:val="21"/>
          <w:highlight w:val="none"/>
        </w:rPr>
        <w:t>除直接投资上述标的外，本产品还可以投资于以上述标的为投资范围的公募基金和私募性质的资产管理计划，其载体包括但不限于：公募基金、证券投资资金信托计划、基金公司或基金子公司专户资产管理计划、券商资产管理计划、保险公司资管计划、期货公司资产管理计划以及法律法规允许投资的其它金融工具。</w:t>
      </w:r>
      <w:r>
        <w:rPr>
          <w:rFonts w:hint="eastAsia" w:ascii="楷体_GB2312" w:eastAsia="楷体_GB2312"/>
          <w:color w:val="auto"/>
          <w:szCs w:val="21"/>
          <w:highlight w:val="none"/>
          <w:lang w:eastAsia="zh-CN"/>
        </w:rPr>
        <w:t>其中，</w:t>
      </w:r>
      <w:r>
        <w:rPr>
          <w:rFonts w:hint="eastAsia" w:ascii="楷体_GB2312" w:eastAsia="楷体_GB2312"/>
          <w:color w:val="auto"/>
          <w:szCs w:val="21"/>
          <w:highlight w:val="none"/>
        </w:rPr>
        <w:t>现金或者到期日在一年以内的国债、中央银行票据和政策性金融债券</w:t>
      </w:r>
      <w:r>
        <w:rPr>
          <w:rFonts w:hint="eastAsia" w:ascii="楷体_GB2312" w:eastAsia="楷体_GB2312"/>
          <w:color w:val="auto"/>
          <w:szCs w:val="21"/>
          <w:highlight w:val="none"/>
          <w:lang w:eastAsia="zh-CN"/>
        </w:rPr>
        <w:t>不低于产品净资产的</w:t>
      </w:r>
      <w:r>
        <w:rPr>
          <w:rFonts w:hint="eastAsia" w:ascii="楷体_GB2312" w:eastAsia="楷体_GB2312"/>
          <w:color w:val="auto"/>
          <w:szCs w:val="21"/>
          <w:highlight w:val="none"/>
          <w:lang w:val="en-US" w:eastAsia="zh-CN"/>
        </w:rPr>
        <w:t>5%。</w:t>
      </w:r>
    </w:p>
    <w:tbl>
      <w:tblPr>
        <w:tblStyle w:val="8"/>
        <w:tblW w:w="10146"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6"/>
        <w:gridCol w:w="5416"/>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6" w:type="dxa"/>
            <w:vAlign w:val="center"/>
          </w:tcPr>
          <w:p>
            <w:pPr>
              <w:spacing w:line="360" w:lineRule="exact"/>
              <w:jc w:val="center"/>
              <w:rPr>
                <w:rFonts w:ascii="楷体_GB2312" w:eastAsia="楷体_GB2312"/>
                <w:color w:val="auto"/>
                <w:szCs w:val="21"/>
                <w:highlight w:val="none"/>
              </w:rPr>
            </w:pPr>
            <w:r>
              <w:rPr>
                <w:rFonts w:hint="eastAsia" w:ascii="楷体_GB2312" w:eastAsia="楷体_GB2312"/>
                <w:color w:val="auto"/>
                <w:szCs w:val="21"/>
                <w:highlight w:val="none"/>
              </w:rPr>
              <w:t>资产类别</w:t>
            </w:r>
          </w:p>
        </w:tc>
        <w:tc>
          <w:tcPr>
            <w:tcW w:w="5416" w:type="dxa"/>
          </w:tcPr>
          <w:p>
            <w:pPr>
              <w:spacing w:line="360" w:lineRule="exact"/>
              <w:rPr>
                <w:rFonts w:ascii="楷体_GB2312" w:eastAsia="楷体_GB2312"/>
                <w:color w:val="auto"/>
                <w:szCs w:val="21"/>
                <w:highlight w:val="none"/>
              </w:rPr>
            </w:pPr>
            <w:r>
              <w:rPr>
                <w:rFonts w:hint="eastAsia" w:ascii="楷体_GB2312" w:eastAsia="楷体_GB2312"/>
                <w:color w:val="auto"/>
                <w:szCs w:val="21"/>
                <w:highlight w:val="none"/>
              </w:rPr>
              <w:t>资产种类</w:t>
            </w:r>
          </w:p>
        </w:tc>
        <w:tc>
          <w:tcPr>
            <w:tcW w:w="2514" w:type="dxa"/>
          </w:tcPr>
          <w:p>
            <w:pPr>
              <w:spacing w:line="360" w:lineRule="exact"/>
              <w:rPr>
                <w:rFonts w:hint="eastAsia" w:ascii="楷体_GB2312" w:eastAsia="楷体_GB2312"/>
                <w:color w:val="auto"/>
                <w:szCs w:val="21"/>
                <w:highlight w:val="none"/>
                <w:lang w:eastAsia="zh-CN"/>
              </w:rPr>
            </w:pPr>
            <w:r>
              <w:rPr>
                <w:rFonts w:hint="eastAsia" w:ascii="楷体_GB2312" w:eastAsia="楷体_GB2312"/>
                <w:color w:val="auto"/>
                <w:szCs w:val="21"/>
                <w:highlight w:val="none"/>
              </w:rPr>
              <w:t>投资比例</w:t>
            </w:r>
            <w:r>
              <w:rPr>
                <w:rFonts w:hint="eastAsia" w:ascii="楷体_GB2312" w:eastAsia="楷体_GB2312"/>
                <w:color w:val="auto"/>
                <w:szCs w:val="21"/>
                <w:highlight w:val="none"/>
                <w:lang w:eastAsia="zh-CN"/>
              </w:rPr>
              <w:t>（占总资产）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16" w:type="dxa"/>
            <w:vMerge w:val="restart"/>
            <w:vAlign w:val="center"/>
          </w:tcPr>
          <w:p>
            <w:pPr>
              <w:spacing w:line="360" w:lineRule="exact"/>
              <w:jc w:val="center"/>
              <w:rPr>
                <w:rFonts w:ascii="楷体_GB2312" w:eastAsia="楷体_GB2312"/>
                <w:color w:val="auto"/>
                <w:szCs w:val="21"/>
                <w:highlight w:val="none"/>
              </w:rPr>
            </w:pPr>
            <w:r>
              <w:rPr>
                <w:rFonts w:hint="eastAsia" w:ascii="楷体_GB2312" w:eastAsia="楷体_GB2312"/>
                <w:color w:val="auto"/>
                <w:szCs w:val="21"/>
                <w:highlight w:val="none"/>
              </w:rPr>
              <w:t>固定收益类</w:t>
            </w:r>
          </w:p>
        </w:tc>
        <w:tc>
          <w:tcPr>
            <w:tcW w:w="5416" w:type="dxa"/>
          </w:tcPr>
          <w:p>
            <w:pPr>
              <w:spacing w:line="360" w:lineRule="exact"/>
              <w:rPr>
                <w:rFonts w:ascii="楷体_GB2312" w:eastAsia="楷体_GB2312"/>
                <w:color w:val="auto"/>
                <w:szCs w:val="21"/>
                <w:highlight w:val="none"/>
              </w:rPr>
            </w:pPr>
            <w:r>
              <w:rPr>
                <w:rFonts w:hint="eastAsia" w:ascii="楷体_GB2312" w:eastAsia="楷体_GB2312"/>
                <w:color w:val="auto"/>
                <w:szCs w:val="21"/>
                <w:highlight w:val="none"/>
              </w:rPr>
              <w:t>货币市场工具类</w:t>
            </w:r>
          </w:p>
        </w:tc>
        <w:tc>
          <w:tcPr>
            <w:tcW w:w="2514" w:type="dxa"/>
            <w:vMerge w:val="restart"/>
            <w:vAlign w:val="center"/>
          </w:tcPr>
          <w:p>
            <w:pPr>
              <w:spacing w:line="360" w:lineRule="exact"/>
              <w:jc w:val="center"/>
              <w:rPr>
                <w:rFonts w:hint="eastAsia" w:ascii="楷体_GB2312" w:eastAsia="楷体_GB2312"/>
                <w:color w:val="auto"/>
                <w:szCs w:val="21"/>
                <w:highlight w:val="none"/>
                <w:lang w:val="en-US" w:eastAsia="zh-CN"/>
              </w:rPr>
            </w:pPr>
            <w:r>
              <w:rPr>
                <w:rFonts w:hint="eastAsia" w:ascii="楷体_GB2312" w:eastAsia="楷体_GB2312"/>
                <w:color w:val="auto"/>
                <w:szCs w:val="21"/>
                <w:highlight w:val="none"/>
                <w:lang w:val="en-US" w:eastAsia="zh-CN"/>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6" w:type="dxa"/>
            <w:vMerge w:val="continue"/>
          </w:tcPr>
          <w:p>
            <w:pPr>
              <w:spacing w:line="360" w:lineRule="exact"/>
              <w:rPr>
                <w:rFonts w:ascii="楷体_GB2312" w:eastAsia="楷体_GB2312"/>
                <w:color w:val="auto"/>
                <w:szCs w:val="21"/>
                <w:highlight w:val="none"/>
              </w:rPr>
            </w:pPr>
          </w:p>
        </w:tc>
        <w:tc>
          <w:tcPr>
            <w:tcW w:w="5416" w:type="dxa"/>
          </w:tcPr>
          <w:p>
            <w:pPr>
              <w:spacing w:line="360" w:lineRule="exact"/>
              <w:rPr>
                <w:rFonts w:hint="eastAsia" w:ascii="楷体_GB2312" w:eastAsia="楷体_GB2312"/>
                <w:color w:val="auto"/>
                <w:szCs w:val="21"/>
                <w:highlight w:val="none"/>
                <w:lang w:val="en-US" w:eastAsia="zh-CN"/>
              </w:rPr>
            </w:pPr>
            <w:r>
              <w:rPr>
                <w:rFonts w:hint="eastAsia" w:ascii="楷体_GB2312" w:eastAsia="楷体_GB2312"/>
                <w:color w:val="auto"/>
                <w:szCs w:val="21"/>
                <w:highlight w:val="none"/>
              </w:rPr>
              <w:t>债券</w:t>
            </w:r>
            <w:r>
              <w:rPr>
                <w:rFonts w:hint="eastAsia" w:ascii="楷体_GB2312" w:eastAsia="楷体_GB2312"/>
                <w:color w:val="auto"/>
                <w:szCs w:val="21"/>
                <w:highlight w:val="none"/>
                <w:lang w:eastAsia="zh-CN"/>
              </w:rPr>
              <w:t>类资产</w:t>
            </w:r>
          </w:p>
        </w:tc>
        <w:tc>
          <w:tcPr>
            <w:tcW w:w="2514" w:type="dxa"/>
            <w:vMerge w:val="continue"/>
          </w:tcPr>
          <w:p>
            <w:pPr>
              <w:spacing w:line="360" w:lineRule="exact"/>
              <w:rPr>
                <w:rFonts w:ascii="楷体_GB2312" w:eastAsia="楷体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6" w:type="dxa"/>
            <w:vMerge w:val="continue"/>
          </w:tcPr>
          <w:p>
            <w:pPr>
              <w:spacing w:line="360" w:lineRule="exact"/>
              <w:rPr>
                <w:rFonts w:ascii="楷体_GB2312" w:eastAsia="楷体_GB2312"/>
                <w:color w:val="auto"/>
                <w:szCs w:val="21"/>
                <w:highlight w:val="none"/>
              </w:rPr>
            </w:pPr>
          </w:p>
        </w:tc>
        <w:tc>
          <w:tcPr>
            <w:tcW w:w="5416" w:type="dxa"/>
          </w:tcPr>
          <w:p>
            <w:pPr>
              <w:spacing w:line="360" w:lineRule="exact"/>
              <w:rPr>
                <w:rFonts w:ascii="楷体_GB2312" w:eastAsia="楷体_GB2312"/>
                <w:color w:val="auto"/>
                <w:szCs w:val="21"/>
                <w:highlight w:val="none"/>
              </w:rPr>
            </w:pPr>
            <w:r>
              <w:rPr>
                <w:rFonts w:hint="eastAsia" w:ascii="楷体_GB2312" w:eastAsia="楷体_GB2312"/>
                <w:color w:val="auto"/>
                <w:szCs w:val="21"/>
                <w:highlight w:val="none"/>
              </w:rPr>
              <w:t>其他符合监管要求的固定收益类资产</w:t>
            </w:r>
          </w:p>
        </w:tc>
        <w:tc>
          <w:tcPr>
            <w:tcW w:w="2514" w:type="dxa"/>
            <w:vMerge w:val="continue"/>
          </w:tcPr>
          <w:p>
            <w:pPr>
              <w:spacing w:line="360" w:lineRule="exact"/>
              <w:rPr>
                <w:rFonts w:ascii="楷体_GB2312" w:eastAsia="楷体_GB2312"/>
                <w:color w:val="auto"/>
                <w:szCs w:val="21"/>
                <w:highlight w:val="none"/>
              </w:rPr>
            </w:pPr>
          </w:p>
        </w:tc>
      </w:tr>
    </w:tbl>
    <w:p>
      <w:pPr>
        <w:spacing w:line="360" w:lineRule="exact"/>
        <w:ind w:firstLine="420" w:firstLineChars="200"/>
        <w:rPr>
          <w:rFonts w:ascii="楷体_GB2312" w:eastAsia="楷体_GB2312"/>
          <w:szCs w:val="21"/>
          <w:highlight w:val="none"/>
        </w:rPr>
      </w:pPr>
      <w:r>
        <w:rPr>
          <w:rFonts w:hint="eastAsia" w:ascii="楷体_GB2312" w:eastAsia="楷体_GB2312"/>
          <w:color w:val="auto"/>
          <w:szCs w:val="21"/>
          <w:highlight w:val="none"/>
        </w:rPr>
        <w:t>若银行根据市场情况调整投资范围、投资资产种类或投资比例，并按</w:t>
      </w:r>
      <w:r>
        <w:rPr>
          <w:rFonts w:hint="eastAsia" w:ascii="楷体_GB2312" w:eastAsia="楷体_GB2312"/>
          <w:szCs w:val="21"/>
          <w:highlight w:val="none"/>
        </w:rPr>
        <w:t>照有关规定事先进行信息披露。</w:t>
      </w:r>
    </w:p>
    <w:p>
      <w:pPr>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若超出约定比例的，除高风险类型的理财产品超出比例范围投资较低风险资产外，银行将先取得投资者书面同意，并做好信息登记；投资者若不接受，允许投资者按照销售文件约定提前赎回理财产品。</w:t>
      </w:r>
    </w:p>
    <w:p>
      <w:pPr>
        <w:spacing w:line="360" w:lineRule="exact"/>
        <w:ind w:firstLine="422" w:firstLineChars="201"/>
        <w:rPr>
          <w:highlight w:val="none"/>
        </w:rPr>
      </w:pPr>
    </w:p>
    <w:p>
      <w:pPr>
        <w:numPr>
          <w:ilvl w:val="255"/>
          <w:numId w:val="0"/>
        </w:numPr>
        <w:spacing w:line="360" w:lineRule="exact"/>
        <w:ind w:firstLine="565" w:firstLineChars="201"/>
        <w:rPr>
          <w:rFonts w:ascii="楷体_GB2312" w:eastAsia="楷体_GB2312"/>
          <w:b/>
          <w:bCs/>
          <w:sz w:val="28"/>
          <w:szCs w:val="28"/>
          <w:highlight w:val="none"/>
        </w:rPr>
      </w:pPr>
      <w:r>
        <w:rPr>
          <w:rFonts w:hint="eastAsia" w:ascii="楷体_GB2312" w:eastAsia="楷体_GB2312"/>
          <w:b/>
          <w:bCs/>
          <w:sz w:val="28"/>
          <w:szCs w:val="28"/>
          <w:highlight w:val="none"/>
        </w:rPr>
        <w:t>三、内部风险评级</w:t>
      </w:r>
    </w:p>
    <w:p>
      <w:pPr>
        <w:spacing w:line="360" w:lineRule="exact"/>
        <w:ind w:firstLine="422" w:firstLineChars="201"/>
        <w:rPr>
          <w:rFonts w:ascii="楷体_GB2312" w:eastAsia="楷体_GB2312"/>
          <w:szCs w:val="21"/>
          <w:highlight w:val="none"/>
        </w:rPr>
      </w:pPr>
      <w:r>
        <w:rPr>
          <w:rFonts w:hint="eastAsia" w:ascii="楷体_GB2312" w:eastAsia="楷体_GB2312"/>
          <w:szCs w:val="21"/>
          <w:highlight w:val="none"/>
          <w:lang w:eastAsia="zh-CN"/>
        </w:rPr>
        <w:t>金港湾天天享</w:t>
      </w:r>
      <w:r>
        <w:rPr>
          <w:rFonts w:hint="eastAsia" w:ascii="楷体_GB2312" w:eastAsia="楷体_GB2312"/>
          <w:szCs w:val="21"/>
          <w:highlight w:val="none"/>
        </w:rPr>
        <w:t>净值型人民币理财产品内部风险评级级别为二级，二颗星★★，风险程度属中低风险级别，适合于稳健型及以上投资者。</w:t>
      </w:r>
    </w:p>
    <w:p>
      <w:pPr>
        <w:spacing w:line="360" w:lineRule="exact"/>
        <w:ind w:firstLine="422" w:firstLineChars="201"/>
        <w:rPr>
          <w:rFonts w:ascii="楷体_GB2312" w:eastAsia="楷体_GB2312"/>
          <w:szCs w:val="21"/>
          <w:highlight w:val="none"/>
        </w:rPr>
      </w:pPr>
      <w:r>
        <w:rPr>
          <w:rFonts w:hint="eastAsia" w:ascii="楷体_GB2312" w:eastAsia="楷体_GB2312"/>
          <w:szCs w:val="21"/>
          <w:highlight w:val="none"/>
        </w:rPr>
        <w:t>（本风险评级为银行内部评级结果，仅供参考，不具备法律后果，评级结果的含义请参见后附的评级标准说明）</w:t>
      </w:r>
    </w:p>
    <w:p>
      <w:pPr>
        <w:spacing w:line="360" w:lineRule="exact"/>
        <w:ind w:firstLine="422" w:firstLineChars="201"/>
        <w:rPr>
          <w:rFonts w:ascii="楷体_GB2312" w:eastAsia="楷体_GB2312"/>
          <w:szCs w:val="21"/>
          <w:highlight w:val="none"/>
        </w:rPr>
      </w:pPr>
      <w:r>
        <w:rPr>
          <w:rFonts w:hint="eastAsia" w:ascii="楷体_GB2312" w:eastAsia="楷体_GB2312"/>
          <w:szCs w:val="21"/>
          <w:highlight w:val="none"/>
        </w:rPr>
        <w:t>银行内部风险评级说明</w:t>
      </w:r>
    </w:p>
    <w:tbl>
      <w:tblPr>
        <w:tblStyle w:val="7"/>
        <w:tblW w:w="10070" w:type="dxa"/>
        <w:tblInd w:w="84" w:type="dxa"/>
        <w:tblLayout w:type="fixed"/>
        <w:tblCellMar>
          <w:top w:w="0" w:type="dxa"/>
          <w:left w:w="0" w:type="dxa"/>
          <w:bottom w:w="0" w:type="dxa"/>
          <w:right w:w="0" w:type="dxa"/>
        </w:tblCellMar>
      </w:tblPr>
      <w:tblGrid>
        <w:gridCol w:w="1755"/>
        <w:gridCol w:w="1185"/>
        <w:gridCol w:w="5422"/>
        <w:gridCol w:w="1708"/>
      </w:tblGrid>
      <w:tr>
        <w:tblPrEx>
          <w:tblCellMar>
            <w:top w:w="0" w:type="dxa"/>
            <w:left w:w="0" w:type="dxa"/>
            <w:bottom w:w="0" w:type="dxa"/>
            <w:right w:w="0" w:type="dxa"/>
          </w:tblCellMar>
        </w:tblPrEx>
        <w:trPr>
          <w:trHeight w:val="455" w:hRule="atLeast"/>
        </w:trPr>
        <w:tc>
          <w:tcPr>
            <w:tcW w:w="17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rPr>
                <w:rFonts w:ascii="楷体_GB2312" w:eastAsia="楷体_GB2312"/>
                <w:szCs w:val="21"/>
                <w:highlight w:val="none"/>
              </w:rPr>
            </w:pPr>
            <w:r>
              <w:rPr>
                <w:rFonts w:hint="eastAsia" w:ascii="楷体_GB2312" w:eastAsia="楷体_GB2312"/>
                <w:szCs w:val="21"/>
                <w:highlight w:val="none"/>
              </w:rPr>
              <w:t>风险标识</w:t>
            </w:r>
          </w:p>
        </w:tc>
        <w:tc>
          <w:tcPr>
            <w:tcW w:w="11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ascii="楷体_GB2312" w:eastAsia="楷体_GB2312"/>
                <w:szCs w:val="21"/>
                <w:highlight w:val="none"/>
              </w:rPr>
            </w:pPr>
            <w:r>
              <w:rPr>
                <w:rFonts w:hint="eastAsia" w:ascii="楷体_GB2312" w:eastAsia="楷体_GB2312"/>
                <w:szCs w:val="21"/>
                <w:highlight w:val="none"/>
              </w:rPr>
              <w:t>风险评级</w:t>
            </w:r>
          </w:p>
        </w:tc>
        <w:tc>
          <w:tcPr>
            <w:tcW w:w="542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ascii="楷体_GB2312" w:eastAsia="楷体_GB2312"/>
                <w:szCs w:val="21"/>
                <w:highlight w:val="none"/>
              </w:rPr>
            </w:pPr>
            <w:r>
              <w:rPr>
                <w:rFonts w:hint="eastAsia" w:ascii="楷体_GB2312" w:eastAsia="楷体_GB2312"/>
                <w:szCs w:val="21"/>
                <w:highlight w:val="none"/>
              </w:rPr>
              <w:t>评级说明</w:t>
            </w:r>
          </w:p>
        </w:tc>
        <w:tc>
          <w:tcPr>
            <w:tcW w:w="17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ascii="楷体_GB2312" w:eastAsia="楷体_GB2312"/>
                <w:szCs w:val="21"/>
                <w:highlight w:val="none"/>
              </w:rPr>
            </w:pPr>
            <w:r>
              <w:rPr>
                <w:rFonts w:hint="eastAsia" w:ascii="楷体_GB2312" w:eastAsia="楷体_GB2312"/>
                <w:szCs w:val="21"/>
                <w:highlight w:val="none"/>
              </w:rPr>
              <w:t>适用投资者</w:t>
            </w:r>
          </w:p>
        </w:tc>
      </w:tr>
      <w:tr>
        <w:tblPrEx>
          <w:tblCellMar>
            <w:top w:w="0" w:type="dxa"/>
            <w:left w:w="0" w:type="dxa"/>
            <w:bottom w:w="0" w:type="dxa"/>
            <w:right w:w="0" w:type="dxa"/>
          </w:tblCellMar>
        </w:tblPrEx>
        <w:trPr>
          <w:trHeight w:val="562" w:hRule="atLeast"/>
        </w:trPr>
        <w:tc>
          <w:tcPr>
            <w:tcW w:w="175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rPr>
                <w:rFonts w:ascii="楷体_GB2312" w:eastAsia="楷体_GB2312"/>
                <w:szCs w:val="21"/>
                <w:highlight w:val="none"/>
              </w:rPr>
            </w:pPr>
            <w:r>
              <w:rPr>
                <w:rFonts w:hint="eastAsia" w:ascii="楷体_GB2312" w:eastAsia="楷体_GB2312"/>
                <w:szCs w:val="21"/>
                <w:highlight w:val="none"/>
              </w:rPr>
              <w:t>★</w:t>
            </w:r>
          </w:p>
        </w:tc>
        <w:tc>
          <w:tcPr>
            <w:tcW w:w="118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ascii="楷体_GB2312" w:eastAsia="楷体_GB2312"/>
                <w:szCs w:val="21"/>
                <w:highlight w:val="none"/>
              </w:rPr>
            </w:pPr>
            <w:r>
              <w:rPr>
                <w:rFonts w:hint="eastAsia" w:ascii="楷体_GB2312" w:eastAsia="楷体_GB2312"/>
                <w:szCs w:val="21"/>
                <w:highlight w:val="none"/>
              </w:rPr>
              <w:t>一级</w:t>
            </w:r>
          </w:p>
        </w:tc>
        <w:tc>
          <w:tcPr>
            <w:tcW w:w="542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ascii="楷体_GB2312" w:eastAsia="楷体_GB2312"/>
                <w:szCs w:val="21"/>
                <w:highlight w:val="none"/>
              </w:rPr>
            </w:pPr>
            <w:r>
              <w:rPr>
                <w:rFonts w:hint="eastAsia" w:ascii="楷体_GB2312" w:eastAsia="楷体_GB2312"/>
                <w:szCs w:val="21"/>
                <w:highlight w:val="none"/>
              </w:rPr>
              <w:t>总体风险程度低，收益波动小，产品本金安全性高，收益不能实现的可能性小。</w:t>
            </w:r>
          </w:p>
        </w:tc>
        <w:tc>
          <w:tcPr>
            <w:tcW w:w="170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hint="eastAsia" w:ascii="楷体_GB2312" w:eastAsia="楷体_GB2312"/>
                <w:szCs w:val="21"/>
                <w:highlight w:val="none"/>
                <w:lang w:eastAsia="zh-CN"/>
              </w:rPr>
            </w:pPr>
            <w:r>
              <w:rPr>
                <w:rFonts w:hint="eastAsia" w:ascii="楷体_GB2312" w:eastAsia="楷体_GB2312"/>
                <w:szCs w:val="21"/>
                <w:highlight w:val="none"/>
              </w:rPr>
              <w:t>保守型投资者</w:t>
            </w:r>
            <w:r>
              <w:rPr>
                <w:rFonts w:hint="eastAsia" w:ascii="楷体_GB2312" w:eastAsia="楷体_GB2312"/>
                <w:szCs w:val="21"/>
                <w:highlight w:val="none"/>
                <w:lang w:eastAsia="zh-CN"/>
              </w:rPr>
              <w:t>、</w:t>
            </w:r>
            <w:r>
              <w:rPr>
                <w:rFonts w:hint="eastAsia" w:ascii="楷体_GB2312" w:eastAsia="楷体_GB2312"/>
                <w:szCs w:val="21"/>
                <w:highlight w:val="none"/>
              </w:rPr>
              <w:t>稳健型投资者</w:t>
            </w:r>
            <w:r>
              <w:rPr>
                <w:rFonts w:hint="eastAsia" w:ascii="楷体_GB2312" w:eastAsia="楷体_GB2312"/>
                <w:szCs w:val="21"/>
                <w:highlight w:val="none"/>
                <w:lang w:eastAsia="zh-CN"/>
              </w:rPr>
              <w:t>、</w:t>
            </w:r>
            <w:r>
              <w:rPr>
                <w:rFonts w:hint="eastAsia" w:ascii="楷体_GB2312" w:eastAsia="楷体_GB2312"/>
                <w:szCs w:val="21"/>
                <w:highlight w:val="none"/>
              </w:rPr>
              <w:t>平衡型投资者</w:t>
            </w:r>
            <w:r>
              <w:rPr>
                <w:rFonts w:hint="eastAsia" w:ascii="楷体_GB2312" w:eastAsia="楷体_GB2312"/>
                <w:szCs w:val="21"/>
                <w:highlight w:val="none"/>
                <w:lang w:eastAsia="zh-CN"/>
              </w:rPr>
              <w:t>、成长型投资者、进取型投资者</w:t>
            </w:r>
          </w:p>
        </w:tc>
      </w:tr>
      <w:tr>
        <w:tblPrEx>
          <w:tblCellMar>
            <w:top w:w="0" w:type="dxa"/>
            <w:left w:w="0" w:type="dxa"/>
            <w:bottom w:w="0" w:type="dxa"/>
            <w:right w:w="0" w:type="dxa"/>
          </w:tblCellMar>
        </w:tblPrEx>
        <w:trPr>
          <w:trHeight w:val="615" w:hRule="atLeast"/>
        </w:trPr>
        <w:tc>
          <w:tcPr>
            <w:tcW w:w="175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rPr>
                <w:rFonts w:ascii="楷体_GB2312" w:eastAsia="楷体_GB2312"/>
                <w:szCs w:val="21"/>
                <w:highlight w:val="none"/>
              </w:rPr>
            </w:pPr>
            <w:r>
              <w:rPr>
                <w:rFonts w:hint="eastAsia" w:ascii="楷体_GB2312" w:eastAsia="楷体_GB2312"/>
                <w:szCs w:val="21"/>
                <w:highlight w:val="none"/>
              </w:rPr>
              <w:t>★★</w:t>
            </w:r>
          </w:p>
        </w:tc>
        <w:tc>
          <w:tcPr>
            <w:tcW w:w="118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ascii="楷体_GB2312" w:eastAsia="楷体_GB2312"/>
                <w:szCs w:val="21"/>
                <w:highlight w:val="none"/>
              </w:rPr>
            </w:pPr>
            <w:r>
              <w:rPr>
                <w:rFonts w:hint="eastAsia" w:ascii="楷体_GB2312" w:eastAsia="楷体_GB2312"/>
                <w:szCs w:val="21"/>
                <w:highlight w:val="none"/>
              </w:rPr>
              <w:t>二级</w:t>
            </w:r>
          </w:p>
        </w:tc>
        <w:tc>
          <w:tcPr>
            <w:tcW w:w="542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ascii="楷体_GB2312" w:eastAsia="楷体_GB2312"/>
                <w:szCs w:val="21"/>
                <w:highlight w:val="none"/>
              </w:rPr>
            </w:pPr>
            <w:r>
              <w:rPr>
                <w:rFonts w:hint="eastAsia" w:ascii="楷体_GB2312" w:eastAsia="楷体_GB2312"/>
                <w:szCs w:val="21"/>
                <w:highlight w:val="none"/>
              </w:rPr>
              <w:t>总体风险程度较低，收益波动较小，虽然存在一些可能对产品本金和收益安全产生不利影响的因素，但产品本金出现损失的可能性较小。</w:t>
            </w:r>
          </w:p>
        </w:tc>
        <w:tc>
          <w:tcPr>
            <w:tcW w:w="170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hint="eastAsia" w:ascii="楷体_GB2312" w:eastAsia="楷体_GB2312"/>
                <w:szCs w:val="21"/>
                <w:highlight w:val="none"/>
                <w:lang w:eastAsia="zh-CN"/>
              </w:rPr>
            </w:pPr>
            <w:r>
              <w:rPr>
                <w:rFonts w:hint="eastAsia" w:ascii="楷体_GB2312" w:eastAsia="楷体_GB2312"/>
                <w:szCs w:val="21"/>
                <w:highlight w:val="none"/>
              </w:rPr>
              <w:t>稳健型投资者</w:t>
            </w:r>
            <w:r>
              <w:rPr>
                <w:rFonts w:hint="eastAsia" w:ascii="楷体_GB2312" w:eastAsia="楷体_GB2312"/>
                <w:szCs w:val="21"/>
                <w:highlight w:val="none"/>
                <w:lang w:eastAsia="zh-CN"/>
              </w:rPr>
              <w:t>、</w:t>
            </w:r>
            <w:r>
              <w:rPr>
                <w:rFonts w:hint="eastAsia" w:ascii="楷体_GB2312" w:eastAsia="楷体_GB2312"/>
                <w:szCs w:val="21"/>
                <w:highlight w:val="none"/>
              </w:rPr>
              <w:t>平衡型投资者</w:t>
            </w:r>
            <w:r>
              <w:rPr>
                <w:rFonts w:hint="eastAsia" w:ascii="楷体_GB2312" w:eastAsia="楷体_GB2312"/>
                <w:szCs w:val="21"/>
                <w:highlight w:val="none"/>
                <w:lang w:eastAsia="zh-CN"/>
              </w:rPr>
              <w:t>、成长型投资者、进取型投资者</w:t>
            </w:r>
          </w:p>
        </w:tc>
      </w:tr>
      <w:tr>
        <w:tblPrEx>
          <w:tblCellMar>
            <w:top w:w="0" w:type="dxa"/>
            <w:left w:w="0" w:type="dxa"/>
            <w:bottom w:w="0" w:type="dxa"/>
            <w:right w:w="0" w:type="dxa"/>
          </w:tblCellMar>
        </w:tblPrEx>
        <w:trPr>
          <w:trHeight w:val="615" w:hRule="atLeast"/>
        </w:trPr>
        <w:tc>
          <w:tcPr>
            <w:tcW w:w="175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rPr>
                <w:rFonts w:ascii="楷体_GB2312" w:eastAsia="楷体_GB2312"/>
                <w:szCs w:val="21"/>
                <w:highlight w:val="none"/>
              </w:rPr>
            </w:pPr>
            <w:r>
              <w:rPr>
                <w:rFonts w:hint="eastAsia" w:ascii="楷体_GB2312" w:eastAsia="楷体_GB2312"/>
                <w:szCs w:val="21"/>
                <w:highlight w:val="none"/>
              </w:rPr>
              <w:t>★★★</w:t>
            </w:r>
          </w:p>
        </w:tc>
        <w:tc>
          <w:tcPr>
            <w:tcW w:w="118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ascii="楷体_GB2312" w:eastAsia="楷体_GB2312"/>
                <w:szCs w:val="21"/>
                <w:highlight w:val="none"/>
              </w:rPr>
            </w:pPr>
            <w:r>
              <w:rPr>
                <w:rFonts w:hint="eastAsia" w:ascii="楷体_GB2312" w:eastAsia="楷体_GB2312"/>
                <w:szCs w:val="21"/>
                <w:highlight w:val="none"/>
              </w:rPr>
              <w:t>三级</w:t>
            </w:r>
          </w:p>
        </w:tc>
        <w:tc>
          <w:tcPr>
            <w:tcW w:w="542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ascii="楷体_GB2312" w:eastAsia="楷体_GB2312"/>
                <w:szCs w:val="21"/>
                <w:highlight w:val="none"/>
              </w:rPr>
            </w:pPr>
            <w:r>
              <w:rPr>
                <w:rFonts w:hint="eastAsia" w:ascii="楷体_GB2312" w:eastAsia="楷体_GB2312"/>
                <w:szCs w:val="21"/>
                <w:highlight w:val="none"/>
              </w:rPr>
              <w:t>总体风险程度适中，收益存在一定的波动，产品本金出现损失的可能性不容忽视。</w:t>
            </w:r>
          </w:p>
        </w:tc>
        <w:tc>
          <w:tcPr>
            <w:tcW w:w="170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hint="eastAsia" w:ascii="楷体_GB2312" w:eastAsia="楷体_GB2312"/>
                <w:szCs w:val="21"/>
                <w:highlight w:val="none"/>
                <w:lang w:eastAsia="zh-CN"/>
              </w:rPr>
            </w:pPr>
            <w:r>
              <w:rPr>
                <w:rFonts w:hint="eastAsia" w:ascii="楷体_GB2312" w:eastAsia="楷体_GB2312"/>
                <w:szCs w:val="21"/>
                <w:highlight w:val="none"/>
              </w:rPr>
              <w:t>平衡型投资者</w:t>
            </w:r>
            <w:r>
              <w:rPr>
                <w:rFonts w:hint="eastAsia" w:ascii="楷体_GB2312" w:eastAsia="楷体_GB2312"/>
                <w:szCs w:val="21"/>
                <w:highlight w:val="none"/>
                <w:lang w:eastAsia="zh-CN"/>
              </w:rPr>
              <w:t>、成长型投资者、进取型投资者</w:t>
            </w:r>
          </w:p>
        </w:tc>
      </w:tr>
      <w:tr>
        <w:tblPrEx>
          <w:tblCellMar>
            <w:top w:w="0" w:type="dxa"/>
            <w:left w:w="0" w:type="dxa"/>
            <w:bottom w:w="0" w:type="dxa"/>
            <w:right w:w="0" w:type="dxa"/>
          </w:tblCellMar>
        </w:tblPrEx>
        <w:trPr>
          <w:trHeight w:val="557" w:hRule="atLeast"/>
        </w:trPr>
        <w:tc>
          <w:tcPr>
            <w:tcW w:w="175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rPr>
                <w:rFonts w:ascii="楷体_GB2312" w:eastAsia="楷体_GB2312"/>
                <w:szCs w:val="21"/>
                <w:highlight w:val="none"/>
              </w:rPr>
            </w:pPr>
            <w:r>
              <w:rPr>
                <w:rFonts w:hint="eastAsia" w:ascii="楷体_GB2312" w:eastAsia="楷体_GB2312"/>
                <w:szCs w:val="21"/>
                <w:highlight w:val="none"/>
              </w:rPr>
              <w:t>★★★★</w:t>
            </w:r>
          </w:p>
        </w:tc>
        <w:tc>
          <w:tcPr>
            <w:tcW w:w="118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ascii="楷体_GB2312" w:eastAsia="楷体_GB2312"/>
                <w:szCs w:val="21"/>
                <w:highlight w:val="none"/>
              </w:rPr>
            </w:pPr>
            <w:r>
              <w:rPr>
                <w:rFonts w:hint="eastAsia" w:ascii="楷体_GB2312" w:eastAsia="楷体_GB2312"/>
                <w:szCs w:val="21"/>
                <w:highlight w:val="none"/>
              </w:rPr>
              <w:t>四级</w:t>
            </w:r>
          </w:p>
        </w:tc>
        <w:tc>
          <w:tcPr>
            <w:tcW w:w="542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ascii="楷体_GB2312" w:eastAsia="楷体_GB2312"/>
                <w:szCs w:val="21"/>
                <w:highlight w:val="none"/>
              </w:rPr>
            </w:pPr>
            <w:r>
              <w:rPr>
                <w:rFonts w:hint="eastAsia" w:ascii="楷体_GB2312" w:eastAsia="楷体_GB2312"/>
                <w:szCs w:val="21"/>
                <w:highlight w:val="none"/>
              </w:rPr>
              <w:t>总体风险程度高，收益波动较明显，产品本金出现损失的可能性高。</w:t>
            </w:r>
          </w:p>
        </w:tc>
        <w:tc>
          <w:tcPr>
            <w:tcW w:w="170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hint="eastAsia" w:ascii="楷体_GB2312" w:eastAsia="楷体_GB2312"/>
                <w:szCs w:val="21"/>
                <w:highlight w:val="none"/>
                <w:lang w:eastAsia="zh-CN"/>
              </w:rPr>
            </w:pPr>
            <w:r>
              <w:rPr>
                <w:rFonts w:hint="eastAsia" w:ascii="楷体_GB2312" w:eastAsia="楷体_GB2312"/>
                <w:szCs w:val="21"/>
                <w:highlight w:val="none"/>
              </w:rPr>
              <w:t>成长型投资者</w:t>
            </w:r>
            <w:r>
              <w:rPr>
                <w:rFonts w:hint="eastAsia" w:ascii="楷体_GB2312" w:eastAsia="楷体_GB2312"/>
                <w:szCs w:val="21"/>
                <w:highlight w:val="none"/>
                <w:lang w:eastAsia="zh-CN"/>
              </w:rPr>
              <w:t>、进取型投资者</w:t>
            </w:r>
          </w:p>
        </w:tc>
      </w:tr>
      <w:tr>
        <w:tblPrEx>
          <w:tblCellMar>
            <w:top w:w="0" w:type="dxa"/>
            <w:left w:w="0" w:type="dxa"/>
            <w:bottom w:w="0" w:type="dxa"/>
            <w:right w:w="0" w:type="dxa"/>
          </w:tblCellMar>
        </w:tblPrEx>
        <w:trPr>
          <w:trHeight w:val="532" w:hRule="atLeast"/>
        </w:trPr>
        <w:tc>
          <w:tcPr>
            <w:tcW w:w="175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rPr>
                <w:rFonts w:ascii="楷体_GB2312" w:eastAsia="楷体_GB2312"/>
                <w:szCs w:val="21"/>
                <w:highlight w:val="none"/>
              </w:rPr>
            </w:pPr>
            <w:r>
              <w:rPr>
                <w:rFonts w:hint="eastAsia" w:ascii="楷体_GB2312" w:eastAsia="楷体_GB2312"/>
                <w:szCs w:val="21"/>
                <w:highlight w:val="none"/>
              </w:rPr>
              <w:t>★★★★★</w:t>
            </w:r>
          </w:p>
        </w:tc>
        <w:tc>
          <w:tcPr>
            <w:tcW w:w="118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ascii="楷体_GB2312" w:eastAsia="楷体_GB2312"/>
                <w:szCs w:val="21"/>
                <w:highlight w:val="none"/>
              </w:rPr>
            </w:pPr>
            <w:r>
              <w:rPr>
                <w:rFonts w:hint="eastAsia" w:ascii="楷体_GB2312" w:eastAsia="楷体_GB2312"/>
                <w:szCs w:val="21"/>
                <w:highlight w:val="none"/>
              </w:rPr>
              <w:t>五级</w:t>
            </w:r>
          </w:p>
        </w:tc>
        <w:tc>
          <w:tcPr>
            <w:tcW w:w="542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ascii="楷体_GB2312" w:eastAsia="楷体_GB2312"/>
                <w:szCs w:val="21"/>
                <w:highlight w:val="none"/>
              </w:rPr>
            </w:pPr>
            <w:r>
              <w:rPr>
                <w:rFonts w:hint="eastAsia" w:ascii="楷体_GB2312" w:eastAsia="楷体_GB2312"/>
                <w:szCs w:val="21"/>
                <w:highlight w:val="none"/>
              </w:rPr>
              <w:t>总体风险程度高，收益波动明显，产品本金出现损失的可能性很高，产品本金出现全部损失的可能性不容忽视。</w:t>
            </w:r>
          </w:p>
        </w:tc>
        <w:tc>
          <w:tcPr>
            <w:tcW w:w="170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ascii="楷体_GB2312" w:eastAsia="楷体_GB2312"/>
                <w:szCs w:val="21"/>
                <w:highlight w:val="none"/>
              </w:rPr>
            </w:pPr>
            <w:r>
              <w:rPr>
                <w:rFonts w:hint="eastAsia" w:ascii="楷体_GB2312" w:eastAsia="楷体_GB2312"/>
                <w:szCs w:val="21"/>
                <w:highlight w:val="none"/>
              </w:rPr>
              <w:t>进取型投资者</w:t>
            </w:r>
          </w:p>
        </w:tc>
      </w:tr>
    </w:tbl>
    <w:p>
      <w:pPr>
        <w:spacing w:line="360" w:lineRule="exact"/>
        <w:ind w:firstLine="422" w:firstLineChars="201"/>
        <w:rPr>
          <w:highlight w:val="none"/>
        </w:rPr>
      </w:pPr>
    </w:p>
    <w:p>
      <w:pPr>
        <w:spacing w:line="360" w:lineRule="exact"/>
        <w:ind w:firstLine="422" w:firstLineChars="201"/>
        <w:rPr>
          <w:highlight w:val="none"/>
        </w:rPr>
      </w:pPr>
    </w:p>
    <w:p>
      <w:pPr>
        <w:numPr>
          <w:ilvl w:val="255"/>
          <w:numId w:val="0"/>
        </w:numPr>
        <w:spacing w:line="360" w:lineRule="exact"/>
        <w:ind w:firstLine="565" w:firstLineChars="201"/>
        <w:rPr>
          <w:rFonts w:ascii="楷体_GB2312" w:eastAsia="楷体_GB2312"/>
          <w:b/>
          <w:bCs/>
          <w:sz w:val="28"/>
          <w:szCs w:val="28"/>
          <w:highlight w:val="none"/>
        </w:rPr>
      </w:pPr>
      <w:r>
        <w:rPr>
          <w:rFonts w:hint="eastAsia" w:ascii="楷体_GB2312" w:eastAsia="楷体_GB2312"/>
          <w:b/>
          <w:bCs/>
          <w:sz w:val="28"/>
          <w:szCs w:val="28"/>
          <w:highlight w:val="none"/>
        </w:rPr>
        <w:t>四、资产估值</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楷体_GB2312" w:eastAsia="楷体_GB2312"/>
          <w:szCs w:val="21"/>
          <w:highlight w:val="none"/>
        </w:rPr>
      </w:pPr>
      <w:r>
        <w:rPr>
          <w:rFonts w:hint="eastAsia" w:ascii="楷体_GB2312" w:eastAsia="楷体_GB2312"/>
          <w:szCs w:val="21"/>
          <w:highlight w:val="none"/>
        </w:rPr>
        <w:t>（一）产品资产估值</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楷体_GB2312" w:eastAsia="楷体_GB2312"/>
          <w:color w:val="auto"/>
          <w:szCs w:val="21"/>
          <w:highlight w:val="none"/>
          <w:lang w:eastAsia="zh-CN"/>
        </w:rPr>
      </w:pPr>
      <w:r>
        <w:rPr>
          <w:rFonts w:hint="eastAsia" w:ascii="楷体_GB2312" w:eastAsia="楷体_GB2312"/>
          <w:color w:val="auto"/>
          <w:szCs w:val="21"/>
          <w:highlight w:val="none"/>
          <w:lang w:eastAsia="zh-CN"/>
        </w:rPr>
        <w:t>产品资产的估值目的是客观、准确地反映产品资产的价值，通过每日计算理财收益并分配的方式，使理财份额净值为</w:t>
      </w:r>
      <w:r>
        <w:rPr>
          <w:rFonts w:hint="eastAsia" w:ascii="楷体_GB2312" w:eastAsia="楷体_GB2312"/>
          <w:color w:val="auto"/>
          <w:szCs w:val="21"/>
          <w:highlight w:val="none"/>
          <w:lang w:val="en-US" w:eastAsia="zh-CN"/>
        </w:rPr>
        <w:t>1.00元。</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楷体_GB2312" w:eastAsia="楷体_GB2312"/>
          <w:szCs w:val="21"/>
          <w:highlight w:val="none"/>
        </w:rPr>
      </w:pPr>
      <w:r>
        <w:rPr>
          <w:rFonts w:hint="eastAsia" w:ascii="楷体_GB2312" w:eastAsia="楷体_GB2312"/>
          <w:szCs w:val="21"/>
          <w:highlight w:val="none"/>
        </w:rPr>
        <w:t>（二）估值方法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楷体_GB2312" w:eastAsia="楷体_GB2312"/>
          <w:szCs w:val="21"/>
          <w:highlight w:val="none"/>
          <w:lang w:eastAsia="zh-CN"/>
        </w:rPr>
      </w:pPr>
      <w:r>
        <w:rPr>
          <w:rFonts w:hint="eastAsia" w:ascii="楷体_GB2312" w:eastAsia="楷体_GB2312"/>
          <w:szCs w:val="21"/>
          <w:highlight w:val="none"/>
          <w:lang w:eastAsia="zh-CN"/>
        </w:rPr>
        <w:t>理财产品所投资各类资产原则上按照公允价值估值，具体估值方法如下：</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楷体_GB2312" w:eastAsia="楷体_GB2312"/>
          <w:szCs w:val="21"/>
          <w:highlight w:val="none"/>
          <w:lang w:eastAsia="zh-CN"/>
        </w:rPr>
      </w:pPr>
      <w:r>
        <w:rPr>
          <w:rFonts w:hint="eastAsia" w:ascii="楷体_GB2312" w:eastAsia="楷体_GB2312"/>
          <w:szCs w:val="21"/>
          <w:highlight w:val="none"/>
          <w:lang w:eastAsia="zh-CN"/>
        </w:rPr>
        <w:t>1、货币市场工具类的估值：以估值日的本金及未付收益估值。</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楷体_GB2312" w:eastAsia="楷体_GB2312"/>
          <w:szCs w:val="21"/>
          <w:highlight w:val="none"/>
          <w:lang w:eastAsia="zh-CN"/>
        </w:rPr>
      </w:pPr>
      <w:r>
        <w:rPr>
          <w:rFonts w:hint="eastAsia" w:ascii="楷体_GB2312" w:eastAsia="楷体_GB2312"/>
          <w:szCs w:val="21"/>
          <w:highlight w:val="none"/>
          <w:lang w:eastAsia="zh-CN"/>
        </w:rPr>
        <w:t>2、债券类资产估值：所投债券在全国银行间债券市场或证券交易所市场交易，采用摊余成本法进行估值；</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楷体_GB2312" w:eastAsia="楷体_GB2312"/>
          <w:szCs w:val="21"/>
          <w:highlight w:val="none"/>
          <w:lang w:eastAsia="zh-CN"/>
        </w:rPr>
      </w:pPr>
      <w:r>
        <w:rPr>
          <w:rFonts w:hint="eastAsia" w:ascii="楷体_GB2312" w:eastAsia="楷体_GB2312"/>
          <w:szCs w:val="21"/>
          <w:highlight w:val="none"/>
          <w:lang w:eastAsia="zh-CN"/>
        </w:rPr>
        <w:t>未上市债券（指买入的债券已起息但尚未在全国银行间债券市场或证券交易所市场上市的阶段）及其他固定收益类资产按照其成本估值，应收利息按逐日计提。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楷体_GB2312" w:eastAsia="楷体_GB2312"/>
          <w:szCs w:val="21"/>
          <w:highlight w:val="none"/>
          <w:lang w:eastAsia="zh-CN"/>
        </w:rPr>
      </w:pPr>
      <w:r>
        <w:rPr>
          <w:rFonts w:hint="eastAsia" w:ascii="楷体_GB2312" w:eastAsia="楷体_GB2312"/>
          <w:szCs w:val="21"/>
          <w:highlight w:val="none"/>
          <w:lang w:val="en-US" w:eastAsia="zh-CN"/>
        </w:rPr>
        <w:t>3</w:t>
      </w:r>
      <w:r>
        <w:rPr>
          <w:rFonts w:hint="eastAsia" w:ascii="楷体_GB2312" w:eastAsia="楷体_GB2312"/>
          <w:szCs w:val="21"/>
          <w:highlight w:val="none"/>
          <w:lang w:eastAsia="zh-CN"/>
        </w:rPr>
        <w:t>、其他资产类估值：存在公允价值的，按照公允价值估值，公允价值不能确定的按照成本法进行估值。</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楷体_GB2312" w:eastAsia="楷体_GB2312"/>
          <w:szCs w:val="21"/>
          <w:highlight w:val="none"/>
          <w:lang w:eastAsia="zh-CN"/>
        </w:rPr>
      </w:pPr>
      <w:r>
        <w:rPr>
          <w:rFonts w:hint="eastAsia" w:ascii="楷体_GB2312" w:eastAsia="楷体_GB2312"/>
          <w:szCs w:val="21"/>
          <w:highlight w:val="none"/>
          <w:lang w:val="en-US" w:eastAsia="zh-CN"/>
        </w:rPr>
        <w:t>4</w:t>
      </w:r>
      <w:r>
        <w:rPr>
          <w:rFonts w:hint="eastAsia" w:ascii="楷体_GB2312" w:eastAsia="楷体_GB2312"/>
          <w:szCs w:val="21"/>
          <w:highlight w:val="none"/>
          <w:lang w:eastAsia="zh-CN"/>
        </w:rPr>
        <w:t>、国家有最新规定的，按其规定进行估值。</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楷体_GB2312" w:eastAsia="楷体_GB2312"/>
          <w:szCs w:val="21"/>
          <w:highlight w:val="none"/>
          <w:lang w:eastAsia="zh-CN"/>
        </w:rPr>
      </w:pPr>
      <w:r>
        <w:rPr>
          <w:rFonts w:hint="eastAsia" w:ascii="楷体_GB2312" w:eastAsia="楷体_GB2312"/>
          <w:szCs w:val="21"/>
          <w:highlight w:val="none"/>
          <w:lang w:val="en-US" w:eastAsia="zh-CN"/>
        </w:rPr>
        <w:t>5</w:t>
      </w:r>
      <w:r>
        <w:rPr>
          <w:rFonts w:hint="eastAsia" w:ascii="楷体_GB2312" w:eastAsia="楷体_GB2312"/>
          <w:szCs w:val="21"/>
          <w:highlight w:val="none"/>
          <w:lang w:eastAsia="zh-CN"/>
        </w:rPr>
        <w:t>、在任何情况下，如采用以上规定的方法对资产进行估值，均应被认为采用了适当的估值方法。但是，如果投资管理人或产品托管人认为按以上规定的方法对产品资产进行估值不能客观反映其公允价值的，可提出动议，协商一致后，变更公允价值的确定方式，并从投资管理人与托管人协商一致日起执行。</w:t>
      </w:r>
    </w:p>
    <w:p>
      <w:pPr>
        <w:spacing w:line="360" w:lineRule="exact"/>
        <w:rPr>
          <w:rFonts w:hint="eastAsia" w:ascii="楷体_GB2312" w:eastAsia="楷体_GB2312"/>
          <w:szCs w:val="21"/>
          <w:highlight w:val="none"/>
        </w:rPr>
      </w:pPr>
    </w:p>
    <w:p>
      <w:pPr>
        <w:numPr>
          <w:ilvl w:val="255"/>
          <w:numId w:val="0"/>
        </w:numPr>
        <w:spacing w:line="360" w:lineRule="exact"/>
        <w:ind w:firstLine="565" w:firstLineChars="201"/>
        <w:rPr>
          <w:rFonts w:hint="eastAsia" w:ascii="楷体_GB2312" w:eastAsia="楷体_GB2312"/>
          <w:szCs w:val="21"/>
          <w:highlight w:val="none"/>
        </w:rPr>
      </w:pPr>
      <w:r>
        <w:rPr>
          <w:rFonts w:hint="eastAsia" w:ascii="楷体_GB2312" w:eastAsia="楷体_GB2312"/>
          <w:b/>
          <w:bCs/>
          <w:sz w:val="28"/>
          <w:szCs w:val="28"/>
          <w:highlight w:val="none"/>
          <w:lang w:eastAsia="zh-CN"/>
        </w:rPr>
        <w:t>五、产品认购、申购、赎回情况说明</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楷体_GB2312" w:eastAsia="楷体_GB2312"/>
          <w:szCs w:val="21"/>
          <w:highlight w:val="none"/>
        </w:rPr>
      </w:pPr>
      <w:r>
        <w:rPr>
          <w:rFonts w:hint="eastAsia" w:ascii="楷体_GB2312" w:eastAsia="楷体_GB2312"/>
          <w:szCs w:val="21"/>
          <w:highlight w:val="none"/>
          <w:lang w:eastAsia="zh-CN"/>
        </w:rPr>
        <w:t>（一）</w:t>
      </w:r>
      <w:r>
        <w:rPr>
          <w:rFonts w:hint="eastAsia" w:ascii="楷体_GB2312" w:eastAsia="楷体_GB2312"/>
          <w:szCs w:val="21"/>
          <w:highlight w:val="none"/>
        </w:rPr>
        <w:t xml:space="preserve">产品认购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楷体_GB2312" w:eastAsia="楷体_GB2312"/>
          <w:szCs w:val="21"/>
          <w:highlight w:val="none"/>
        </w:rPr>
      </w:pPr>
      <w:r>
        <w:rPr>
          <w:rFonts w:hint="eastAsia" w:ascii="楷体_GB2312" w:eastAsia="楷体_GB2312"/>
          <w:szCs w:val="21"/>
          <w:highlight w:val="none"/>
          <w:lang w:val="en-US" w:eastAsia="zh-CN"/>
        </w:rPr>
        <w:t>1、</w:t>
      </w:r>
      <w:r>
        <w:rPr>
          <w:rFonts w:hint="eastAsia" w:ascii="楷体_GB2312" w:eastAsia="楷体_GB2312"/>
          <w:szCs w:val="21"/>
          <w:highlight w:val="none"/>
        </w:rPr>
        <w:t>认购开放时间：2019年</w:t>
      </w:r>
      <w:r>
        <w:rPr>
          <w:rFonts w:hint="eastAsia" w:ascii="楷体_GB2312" w:eastAsia="楷体_GB2312"/>
          <w:szCs w:val="21"/>
          <w:highlight w:val="none"/>
          <w:lang w:val="en-US" w:eastAsia="zh-CN"/>
        </w:rPr>
        <w:t>11</w:t>
      </w:r>
      <w:r>
        <w:rPr>
          <w:rFonts w:hint="eastAsia" w:ascii="楷体_GB2312" w:eastAsia="楷体_GB2312"/>
          <w:szCs w:val="21"/>
          <w:highlight w:val="none"/>
        </w:rPr>
        <w:t>月</w:t>
      </w:r>
      <w:r>
        <w:rPr>
          <w:rFonts w:hint="eastAsia" w:ascii="楷体_GB2312" w:eastAsia="楷体_GB2312"/>
          <w:szCs w:val="21"/>
          <w:highlight w:val="none"/>
          <w:lang w:val="en-US" w:eastAsia="zh-CN"/>
        </w:rPr>
        <w:t>07</w:t>
      </w:r>
      <w:r>
        <w:rPr>
          <w:rFonts w:hint="eastAsia" w:ascii="楷体_GB2312" w:eastAsia="楷体_GB2312"/>
          <w:szCs w:val="21"/>
          <w:highlight w:val="none"/>
        </w:rPr>
        <w:t>日</w:t>
      </w:r>
      <w:r>
        <w:rPr>
          <w:rFonts w:hint="eastAsia" w:ascii="楷体_GB2312" w:eastAsia="楷体_GB2312"/>
          <w:szCs w:val="21"/>
          <w:highlight w:val="none"/>
          <w:lang w:val="en-US" w:eastAsia="zh-CN"/>
        </w:rPr>
        <w:t>-2019年11月13日</w:t>
      </w:r>
      <w:r>
        <w:rPr>
          <w:rFonts w:hint="eastAsia" w:ascii="楷体_GB2312" w:eastAsia="楷体_GB2312"/>
          <w:szCs w:val="21"/>
          <w:highlight w:val="none"/>
        </w:rPr>
        <w:t>，具体认购的开放、截止时间点以</w:t>
      </w:r>
      <w:r>
        <w:rPr>
          <w:rFonts w:hint="eastAsia" w:ascii="楷体_GB2312" w:eastAsia="楷体_GB2312"/>
          <w:szCs w:val="21"/>
          <w:highlight w:val="none"/>
          <w:lang w:eastAsia="zh-CN"/>
        </w:rPr>
        <w:t>张家港</w:t>
      </w:r>
      <w:r>
        <w:rPr>
          <w:rFonts w:hint="eastAsia" w:ascii="楷体_GB2312" w:eastAsia="楷体_GB2312"/>
          <w:szCs w:val="21"/>
          <w:highlight w:val="none"/>
        </w:rPr>
        <w:t>农商银行系统设置为准，本产品认购募集期内允许撤单。用于认购的投资本金将暂时冻结，产品成立日将统一扣收。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楷体_GB2312" w:eastAsia="楷体_GB2312"/>
          <w:szCs w:val="21"/>
          <w:highlight w:val="none"/>
        </w:rPr>
      </w:pPr>
      <w:r>
        <w:rPr>
          <w:rFonts w:hint="eastAsia" w:ascii="楷体_GB2312" w:eastAsia="楷体_GB2312"/>
          <w:szCs w:val="21"/>
          <w:highlight w:val="none"/>
          <w:lang w:val="en-US" w:eastAsia="zh-CN"/>
        </w:rPr>
        <w:t>2、</w:t>
      </w:r>
      <w:r>
        <w:rPr>
          <w:rFonts w:hint="eastAsia" w:ascii="楷体_GB2312" w:eastAsia="楷体_GB2312"/>
          <w:szCs w:val="21"/>
          <w:highlight w:val="none"/>
        </w:rPr>
        <w:t>投资者实际认购份额以银行确认份额为准。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楷体_GB2312" w:eastAsia="楷体_GB2312"/>
          <w:szCs w:val="21"/>
          <w:highlight w:val="none"/>
        </w:rPr>
      </w:pPr>
      <w:r>
        <w:rPr>
          <w:rFonts w:hint="eastAsia" w:ascii="楷体_GB2312" w:eastAsia="楷体_GB2312"/>
          <w:szCs w:val="21"/>
          <w:highlight w:val="none"/>
          <w:lang w:val="en-US" w:eastAsia="zh-CN"/>
        </w:rPr>
        <w:t>3、</w:t>
      </w:r>
      <w:r>
        <w:rPr>
          <w:rFonts w:hint="eastAsia" w:ascii="楷体_GB2312" w:eastAsia="楷体_GB2312"/>
          <w:szCs w:val="21"/>
          <w:highlight w:val="none"/>
        </w:rPr>
        <w:t>本产品进入封闭期后，不可再进行认购、撤单、赎回等操作。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楷体_GB2312" w:eastAsia="楷体_GB2312"/>
          <w:szCs w:val="21"/>
          <w:highlight w:val="none"/>
        </w:rPr>
      </w:pPr>
      <w:r>
        <w:rPr>
          <w:rFonts w:hint="eastAsia" w:ascii="楷体_GB2312" w:eastAsia="楷体_GB2312"/>
          <w:szCs w:val="21"/>
          <w:highlight w:val="none"/>
          <w:lang w:val="en-US" w:eastAsia="zh-CN"/>
        </w:rPr>
        <w:t>（二）</w:t>
      </w:r>
      <w:r>
        <w:rPr>
          <w:rFonts w:hint="eastAsia" w:ascii="楷体_GB2312" w:eastAsia="楷体_GB2312"/>
          <w:szCs w:val="21"/>
          <w:highlight w:val="none"/>
        </w:rPr>
        <w:t>产品申购</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楷体_GB2312" w:eastAsia="楷体_GB2312"/>
          <w:szCs w:val="21"/>
          <w:highlight w:val="none"/>
        </w:rPr>
      </w:pPr>
      <w:r>
        <w:rPr>
          <w:rFonts w:hint="eastAsia" w:ascii="楷体_GB2312" w:eastAsia="楷体_GB2312"/>
          <w:szCs w:val="21"/>
          <w:highlight w:val="none"/>
          <w:lang w:val="en-US" w:eastAsia="zh-CN"/>
        </w:rPr>
        <w:t>1、</w:t>
      </w:r>
      <w:r>
        <w:rPr>
          <w:rFonts w:hint="eastAsia" w:ascii="楷体_GB2312" w:eastAsia="楷体_GB2312"/>
          <w:szCs w:val="21"/>
          <w:highlight w:val="none"/>
        </w:rPr>
        <w:t>开放期：自本产品首次开放日后，每日开放申购。其中每一工作日9:00-</w:t>
      </w:r>
      <w:r>
        <w:rPr>
          <w:rFonts w:hint="eastAsia" w:ascii="楷体_GB2312" w:eastAsia="楷体_GB2312"/>
          <w:szCs w:val="21"/>
          <w:highlight w:val="none"/>
          <w:lang w:eastAsia="zh-CN"/>
        </w:rPr>
        <w:t>15:00</w:t>
      </w:r>
      <w:r>
        <w:rPr>
          <w:rFonts w:hint="eastAsia" w:ascii="楷体_GB2312" w:eastAsia="楷体_GB2312"/>
          <w:szCs w:val="21"/>
          <w:highlight w:val="none"/>
        </w:rPr>
        <w:t>（以</w:t>
      </w:r>
      <w:r>
        <w:rPr>
          <w:rFonts w:hint="eastAsia" w:ascii="楷体_GB2312" w:eastAsia="楷体_GB2312"/>
          <w:szCs w:val="21"/>
          <w:highlight w:val="none"/>
          <w:lang w:eastAsia="zh-CN"/>
        </w:rPr>
        <w:t>张家港</w:t>
      </w:r>
      <w:r>
        <w:rPr>
          <w:rFonts w:hint="eastAsia" w:ascii="楷体_GB2312" w:eastAsia="楷体_GB2312"/>
          <w:szCs w:val="21"/>
          <w:highlight w:val="none"/>
        </w:rPr>
        <w:t>农商银行系统设置为准）为交易时段，其他时间为非交易时段。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楷体_GB2312" w:eastAsia="楷体_GB2312"/>
          <w:szCs w:val="21"/>
          <w:highlight w:val="none"/>
        </w:rPr>
      </w:pPr>
      <w:r>
        <w:rPr>
          <w:rFonts w:hint="eastAsia" w:ascii="楷体_GB2312" w:eastAsia="楷体_GB2312"/>
          <w:szCs w:val="21"/>
          <w:highlight w:val="none"/>
          <w:lang w:val="en-US" w:eastAsia="zh-CN"/>
        </w:rPr>
        <w:t>2、</w:t>
      </w:r>
      <w:r>
        <w:rPr>
          <w:rFonts w:hint="eastAsia" w:ascii="楷体_GB2312" w:eastAsia="楷体_GB2312"/>
          <w:szCs w:val="21"/>
          <w:highlight w:val="none"/>
        </w:rPr>
        <w:t>申购是指投资者在产品的开放期申请购买该理财产品。投资者提出申购申请后，投资本金将被实时冻结。交易时段内，投资者提出的申购申请将于当日进行确认。申购确认日银行系统完成处理后，投资者将可查询自己持有的份额。非交易时段内，投资者提出的申购申请将于最近的下一个交易时段发起。</w:t>
      </w:r>
    </w:p>
    <w:tbl>
      <w:tblPr>
        <w:tblStyle w:val="7"/>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1"/>
        <w:gridCol w:w="1701"/>
        <w:gridCol w:w="2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1" w:type="dxa"/>
            <w:noWrap w:val="0"/>
            <w:vAlign w:val="top"/>
          </w:tcPr>
          <w:p>
            <w:pPr>
              <w:spacing w:line="360" w:lineRule="exact"/>
              <w:rPr>
                <w:rFonts w:hint="eastAsia" w:ascii="楷体_GB2312" w:eastAsia="楷体_GB2312"/>
                <w:szCs w:val="21"/>
                <w:highlight w:val="none"/>
              </w:rPr>
            </w:pPr>
            <w:r>
              <w:rPr>
                <w:rFonts w:hint="eastAsia" w:ascii="楷体_GB2312" w:eastAsia="楷体_GB2312"/>
                <w:szCs w:val="21"/>
                <w:highlight w:val="none"/>
              </w:rPr>
              <w:t>申购申请</w:t>
            </w:r>
          </w:p>
        </w:tc>
        <w:tc>
          <w:tcPr>
            <w:tcW w:w="1701" w:type="dxa"/>
            <w:noWrap w:val="0"/>
            <w:vAlign w:val="top"/>
          </w:tcPr>
          <w:p>
            <w:pPr>
              <w:spacing w:line="360" w:lineRule="exact"/>
              <w:rPr>
                <w:rFonts w:hint="eastAsia" w:ascii="楷体_GB2312" w:eastAsia="楷体_GB2312"/>
                <w:szCs w:val="21"/>
                <w:highlight w:val="none"/>
              </w:rPr>
            </w:pPr>
            <w:r>
              <w:rPr>
                <w:rFonts w:hint="eastAsia" w:ascii="楷体_GB2312" w:eastAsia="楷体_GB2312"/>
                <w:szCs w:val="21"/>
                <w:highlight w:val="none"/>
              </w:rPr>
              <w:t>收益起算日</w:t>
            </w:r>
          </w:p>
        </w:tc>
        <w:tc>
          <w:tcPr>
            <w:tcW w:w="2927" w:type="dxa"/>
            <w:noWrap w:val="0"/>
            <w:vAlign w:val="top"/>
          </w:tcPr>
          <w:p>
            <w:pPr>
              <w:spacing w:line="360" w:lineRule="exact"/>
              <w:rPr>
                <w:rFonts w:hint="eastAsia" w:ascii="楷体_GB2312" w:eastAsia="楷体_GB2312"/>
                <w:szCs w:val="21"/>
                <w:highlight w:val="none"/>
              </w:rPr>
            </w:pPr>
            <w:r>
              <w:rPr>
                <w:rFonts w:hint="eastAsia" w:ascii="楷体_GB2312" w:eastAsia="楷体_GB2312"/>
                <w:szCs w:val="21"/>
                <w:highlight w:val="none"/>
              </w:rPr>
              <w:t>可赎回日期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1" w:type="dxa"/>
            <w:noWrap w:val="0"/>
            <w:vAlign w:val="top"/>
          </w:tcPr>
          <w:p>
            <w:pPr>
              <w:spacing w:line="360" w:lineRule="exact"/>
              <w:rPr>
                <w:rFonts w:hint="eastAsia" w:ascii="楷体_GB2312" w:eastAsia="楷体_GB2312"/>
                <w:szCs w:val="21"/>
                <w:highlight w:val="none"/>
                <w:lang w:val="en-US" w:eastAsia="zh-CN"/>
              </w:rPr>
            </w:pPr>
            <w:r>
              <w:rPr>
                <w:rFonts w:hint="eastAsia" w:ascii="楷体_GB2312" w:eastAsia="楷体_GB2312"/>
                <w:szCs w:val="21"/>
                <w:highlight w:val="none"/>
              </w:rPr>
              <w:t>每一法定工作日（T日）的00：00-15：</w:t>
            </w:r>
            <w:r>
              <w:rPr>
                <w:rFonts w:hint="eastAsia" w:ascii="楷体_GB2312" w:eastAsia="楷体_GB2312"/>
                <w:szCs w:val="21"/>
                <w:highlight w:val="none"/>
                <w:lang w:val="en-US" w:eastAsia="zh-CN"/>
              </w:rPr>
              <w:t>00</w:t>
            </w:r>
          </w:p>
        </w:tc>
        <w:tc>
          <w:tcPr>
            <w:tcW w:w="1701" w:type="dxa"/>
            <w:noWrap w:val="0"/>
            <w:vAlign w:val="top"/>
          </w:tcPr>
          <w:p>
            <w:pPr>
              <w:spacing w:line="360" w:lineRule="exact"/>
              <w:rPr>
                <w:rFonts w:hint="eastAsia" w:ascii="楷体_GB2312" w:eastAsia="楷体_GB2312"/>
                <w:szCs w:val="21"/>
                <w:highlight w:val="none"/>
              </w:rPr>
            </w:pPr>
            <w:r>
              <w:rPr>
                <w:rFonts w:hint="eastAsia" w:ascii="楷体_GB2312" w:eastAsia="楷体_GB2312"/>
                <w:szCs w:val="21"/>
                <w:highlight w:val="none"/>
              </w:rPr>
              <w:t>T工作日</w:t>
            </w:r>
          </w:p>
        </w:tc>
        <w:tc>
          <w:tcPr>
            <w:tcW w:w="2927" w:type="dxa"/>
            <w:noWrap w:val="0"/>
            <w:vAlign w:val="top"/>
          </w:tcPr>
          <w:p>
            <w:pPr>
              <w:spacing w:line="360" w:lineRule="exact"/>
              <w:rPr>
                <w:rFonts w:hint="eastAsia" w:ascii="楷体_GB2312" w:eastAsia="楷体_GB2312"/>
                <w:szCs w:val="21"/>
                <w:highlight w:val="none"/>
              </w:rPr>
            </w:pPr>
            <w:r>
              <w:rPr>
                <w:rFonts w:hint="eastAsia" w:ascii="楷体_GB2312" w:eastAsia="楷体_GB2312"/>
                <w:szCs w:val="21"/>
                <w:highlight w:val="none"/>
              </w:rPr>
              <w:t>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1" w:type="dxa"/>
            <w:noWrap w:val="0"/>
            <w:vAlign w:val="top"/>
          </w:tcPr>
          <w:p>
            <w:pPr>
              <w:spacing w:line="360" w:lineRule="exact"/>
              <w:rPr>
                <w:rFonts w:hint="eastAsia" w:ascii="楷体_GB2312" w:eastAsia="楷体_GB2312"/>
                <w:szCs w:val="21"/>
                <w:highlight w:val="none"/>
              </w:rPr>
            </w:pPr>
            <w:r>
              <w:rPr>
                <w:rFonts w:hint="eastAsia" w:ascii="楷体_GB2312" w:eastAsia="楷体_GB2312"/>
                <w:szCs w:val="21"/>
                <w:highlight w:val="none"/>
              </w:rPr>
              <w:t>每一法定工作日（T日）的</w:t>
            </w:r>
            <w:r>
              <w:rPr>
                <w:rFonts w:hint="eastAsia" w:ascii="楷体_GB2312" w:eastAsia="楷体_GB2312"/>
                <w:szCs w:val="21"/>
                <w:highlight w:val="none"/>
                <w:lang w:val="en-US" w:eastAsia="zh-CN"/>
              </w:rPr>
              <w:t>15:00</w:t>
            </w:r>
            <w:r>
              <w:rPr>
                <w:rFonts w:hint="eastAsia" w:ascii="楷体_GB2312" w:eastAsia="楷体_GB2312"/>
                <w:szCs w:val="21"/>
                <w:highlight w:val="none"/>
              </w:rPr>
              <w:t>-24：00以及周末、法定节假日全天</w:t>
            </w:r>
          </w:p>
        </w:tc>
        <w:tc>
          <w:tcPr>
            <w:tcW w:w="1701" w:type="dxa"/>
            <w:noWrap w:val="0"/>
            <w:vAlign w:val="top"/>
          </w:tcPr>
          <w:p>
            <w:pPr>
              <w:spacing w:line="360" w:lineRule="exact"/>
              <w:rPr>
                <w:rFonts w:hint="eastAsia" w:ascii="楷体_GB2312" w:eastAsia="楷体_GB2312"/>
                <w:szCs w:val="21"/>
                <w:highlight w:val="none"/>
              </w:rPr>
            </w:pPr>
            <w:r>
              <w:rPr>
                <w:rFonts w:hint="eastAsia" w:ascii="楷体_GB2312" w:eastAsia="楷体_GB2312"/>
                <w:szCs w:val="21"/>
                <w:highlight w:val="none"/>
              </w:rPr>
              <w:t>T+1工作日</w:t>
            </w:r>
          </w:p>
        </w:tc>
        <w:tc>
          <w:tcPr>
            <w:tcW w:w="2927" w:type="dxa"/>
            <w:noWrap w:val="0"/>
            <w:vAlign w:val="top"/>
          </w:tcPr>
          <w:p>
            <w:pPr>
              <w:spacing w:line="360" w:lineRule="exact"/>
              <w:rPr>
                <w:rFonts w:hint="eastAsia" w:ascii="楷体_GB2312" w:eastAsia="楷体_GB2312"/>
                <w:szCs w:val="21"/>
                <w:highlight w:val="none"/>
              </w:rPr>
            </w:pPr>
            <w:r>
              <w:rPr>
                <w:rFonts w:hint="eastAsia" w:ascii="楷体_GB2312" w:eastAsia="楷体_GB2312"/>
                <w:szCs w:val="21"/>
                <w:highlight w:val="none"/>
              </w:rPr>
              <w:t>T+1工作日</w:t>
            </w:r>
          </w:p>
        </w:tc>
      </w:tr>
    </w:tbl>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楷体_GB2312" w:eastAsia="楷体_GB2312"/>
          <w:szCs w:val="21"/>
          <w:highlight w:val="none"/>
        </w:rPr>
      </w:pPr>
      <w:r>
        <w:rPr>
          <w:rFonts w:hint="eastAsia" w:ascii="楷体_GB2312" w:eastAsia="楷体_GB2312"/>
          <w:szCs w:val="21"/>
          <w:highlight w:val="none"/>
          <w:lang w:val="en-US" w:eastAsia="zh-CN"/>
        </w:rPr>
        <w:t>3、</w:t>
      </w:r>
      <w:r>
        <w:rPr>
          <w:rFonts w:hint="eastAsia" w:ascii="楷体_GB2312" w:eastAsia="楷体_GB2312"/>
          <w:szCs w:val="21"/>
          <w:highlight w:val="none"/>
        </w:rPr>
        <w:t>理财计划开放期内任一工作日，若本理财产品总规模达到理财计划上限，银行有权拒绝超过本理财计划规模上限部分的申购申请。</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楷体_GB2312" w:eastAsia="楷体_GB2312"/>
          <w:szCs w:val="21"/>
          <w:highlight w:val="none"/>
        </w:rPr>
      </w:pPr>
      <w:r>
        <w:rPr>
          <w:rFonts w:hint="eastAsia" w:ascii="楷体_GB2312" w:eastAsia="楷体_GB2312"/>
          <w:szCs w:val="21"/>
          <w:highlight w:val="none"/>
          <w:lang w:val="en-US" w:eastAsia="zh-CN"/>
        </w:rPr>
        <w:t>4、</w:t>
      </w:r>
      <w:r>
        <w:rPr>
          <w:rFonts w:hint="eastAsia" w:ascii="楷体_GB2312" w:eastAsia="楷体_GB2312"/>
          <w:szCs w:val="21"/>
          <w:highlight w:val="none"/>
        </w:rPr>
        <w:t>如出现市场剧烈波动、相关法规政策变化或其他可能影响本理财产品正常运作的情况</w:t>
      </w:r>
      <w:r>
        <w:rPr>
          <w:rFonts w:hint="eastAsia" w:ascii="楷体_GB2312" w:eastAsia="楷体_GB2312"/>
          <w:szCs w:val="21"/>
          <w:highlight w:val="none"/>
          <w:lang w:eastAsia="zh-CN"/>
        </w:rPr>
        <w:t>，张家港</w:t>
      </w:r>
      <w:r>
        <w:rPr>
          <w:rFonts w:hint="eastAsia" w:ascii="楷体_GB2312" w:eastAsia="楷体_GB2312"/>
          <w:szCs w:val="21"/>
          <w:highlight w:val="none"/>
        </w:rPr>
        <w:t>农商银行有权停止报价，投资者将无法在上述约定的认/申购时间内认购本理财产品。如果本理财产品停止认/申购，投资者除无法获得投资收益外，还可能影响其投资安排。</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楷体_GB2312" w:eastAsia="楷体_GB2312"/>
          <w:szCs w:val="21"/>
          <w:highlight w:val="none"/>
        </w:rPr>
      </w:pPr>
      <w:r>
        <w:rPr>
          <w:rFonts w:hint="eastAsia" w:ascii="楷体_GB2312" w:eastAsia="楷体_GB2312"/>
          <w:szCs w:val="21"/>
          <w:highlight w:val="none"/>
          <w:lang w:val="en-US" w:eastAsia="zh-CN"/>
        </w:rPr>
        <w:t>5、</w:t>
      </w:r>
      <w:r>
        <w:rPr>
          <w:rFonts w:hint="eastAsia" w:ascii="楷体_GB2312" w:eastAsia="楷体_GB2312"/>
          <w:szCs w:val="21"/>
          <w:highlight w:val="none"/>
        </w:rPr>
        <w:t>发售对象：本理财产品仅向依据中华人民共和国有关法律法规及其他有关规定可以认购/申购本理财产品的投资者发售。</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楷体_GB2312" w:eastAsia="楷体_GB2312"/>
          <w:szCs w:val="21"/>
          <w:highlight w:val="none"/>
          <w:lang w:val="en-US" w:eastAsia="zh-CN"/>
        </w:rPr>
      </w:pPr>
      <w:r>
        <w:rPr>
          <w:rFonts w:hint="eastAsia" w:ascii="楷体_GB2312" w:eastAsia="楷体_GB2312"/>
          <w:szCs w:val="21"/>
          <w:highlight w:val="none"/>
          <w:lang w:val="en-US" w:eastAsia="zh-CN"/>
        </w:rPr>
        <w:t>（三）产品赎回</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楷体_GB2312" w:eastAsia="楷体_GB2312"/>
          <w:szCs w:val="21"/>
          <w:highlight w:val="none"/>
        </w:rPr>
      </w:pPr>
      <w:r>
        <w:rPr>
          <w:rFonts w:hint="eastAsia" w:ascii="楷体_GB2312" w:eastAsia="楷体_GB2312"/>
          <w:szCs w:val="21"/>
          <w:highlight w:val="none"/>
          <w:lang w:val="en-US" w:eastAsia="zh-CN"/>
        </w:rPr>
        <w:t>1、</w:t>
      </w:r>
      <w:r>
        <w:rPr>
          <w:rFonts w:hint="eastAsia" w:ascii="楷体_GB2312" w:eastAsia="楷体_GB2312"/>
          <w:szCs w:val="21"/>
          <w:highlight w:val="none"/>
        </w:rPr>
        <w:t>开放期：自本产品首次开放日后，每日开放赎回。其中每一工作日9:00-</w:t>
      </w:r>
      <w:r>
        <w:rPr>
          <w:rFonts w:hint="eastAsia" w:ascii="楷体_GB2312" w:eastAsia="楷体_GB2312"/>
          <w:szCs w:val="21"/>
          <w:highlight w:val="none"/>
          <w:lang w:eastAsia="zh-CN"/>
        </w:rPr>
        <w:t>15:00</w:t>
      </w:r>
      <w:r>
        <w:rPr>
          <w:rFonts w:hint="eastAsia" w:ascii="楷体_GB2312" w:eastAsia="楷体_GB2312"/>
          <w:szCs w:val="21"/>
          <w:highlight w:val="none"/>
        </w:rPr>
        <w:t>为交易时段，其他时间为非交易时段。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楷体_GB2312" w:eastAsia="楷体_GB2312"/>
          <w:szCs w:val="21"/>
          <w:highlight w:val="none"/>
          <w:lang w:eastAsia="zh-CN"/>
        </w:rPr>
      </w:pPr>
      <w:r>
        <w:rPr>
          <w:rFonts w:hint="eastAsia" w:ascii="楷体_GB2312" w:eastAsia="楷体_GB2312"/>
          <w:szCs w:val="21"/>
          <w:highlight w:val="none"/>
          <w:lang w:val="en-US" w:eastAsia="zh-CN"/>
        </w:rPr>
        <w:t>2、</w:t>
      </w:r>
      <w:r>
        <w:rPr>
          <w:rFonts w:hint="eastAsia" w:ascii="楷体_GB2312" w:eastAsia="楷体_GB2312"/>
          <w:szCs w:val="21"/>
          <w:highlight w:val="none"/>
        </w:rPr>
        <w:t>赎回是指投资者在产品的开放期申请赎回该理财产品。本理财产品按份额赎回，赎回份额为1</w:t>
      </w:r>
      <w:r>
        <w:rPr>
          <w:rFonts w:hint="eastAsia" w:ascii="楷体_GB2312" w:eastAsia="楷体_GB2312"/>
          <w:szCs w:val="21"/>
          <w:highlight w:val="none"/>
          <w:lang w:val="en-US" w:eastAsia="zh-CN"/>
        </w:rPr>
        <w:t>000</w:t>
      </w:r>
      <w:r>
        <w:rPr>
          <w:rFonts w:hint="eastAsia" w:ascii="楷体_GB2312" w:eastAsia="楷体_GB2312"/>
          <w:szCs w:val="21"/>
          <w:highlight w:val="none"/>
        </w:rPr>
        <w:t>份的整倍数。投资者每次赎回</w:t>
      </w:r>
      <w:r>
        <w:rPr>
          <w:rFonts w:hint="eastAsia" w:ascii="楷体_GB2312" w:eastAsia="楷体_GB2312"/>
          <w:szCs w:val="21"/>
          <w:highlight w:val="none"/>
          <w:lang w:eastAsia="zh-CN"/>
        </w:rPr>
        <w:t>本金</w:t>
      </w:r>
      <w:r>
        <w:rPr>
          <w:rFonts w:hint="eastAsia" w:ascii="楷体_GB2312" w:eastAsia="楷体_GB2312"/>
          <w:szCs w:val="21"/>
          <w:highlight w:val="none"/>
        </w:rPr>
        <w:t>=赎回份额×产品净值（1元/份）</w:t>
      </w:r>
      <w:r>
        <w:rPr>
          <w:rFonts w:hint="eastAsia" w:ascii="楷体_GB2312" w:eastAsia="楷体_GB2312"/>
          <w:szCs w:val="21"/>
          <w:highlight w:val="none"/>
          <w:lang w:eastAsia="zh-CN"/>
        </w:rPr>
        <w:t>，全额赎回对应的收益（如有）于下个工作日分配，部分赎回对应的收益（如有）于收益分配日分配。</w:t>
      </w:r>
    </w:p>
    <w:tbl>
      <w:tblPr>
        <w:tblStyle w:val="7"/>
        <w:tblpPr w:leftFromText="180" w:rightFromText="180" w:vertAnchor="text" w:horzAnchor="page" w:tblpX="1500" w:tblpY="184"/>
        <w:tblOverlap w:val="never"/>
        <w:tblW w:w="9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0"/>
        <w:gridCol w:w="5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0" w:type="dxa"/>
            <w:noWrap w:val="0"/>
            <w:vAlign w:val="top"/>
          </w:tcPr>
          <w:p>
            <w:pPr>
              <w:spacing w:line="360" w:lineRule="exact"/>
              <w:rPr>
                <w:rFonts w:hint="eastAsia" w:ascii="楷体_GB2312" w:eastAsia="楷体_GB2312"/>
                <w:szCs w:val="21"/>
                <w:highlight w:val="none"/>
              </w:rPr>
            </w:pPr>
            <w:r>
              <w:rPr>
                <w:rFonts w:hint="eastAsia" w:ascii="楷体_GB2312" w:eastAsia="楷体_GB2312"/>
                <w:szCs w:val="21"/>
                <w:highlight w:val="none"/>
              </w:rPr>
              <w:t>赎回申请</w:t>
            </w:r>
          </w:p>
        </w:tc>
        <w:tc>
          <w:tcPr>
            <w:tcW w:w="5646" w:type="dxa"/>
            <w:noWrap w:val="0"/>
            <w:vAlign w:val="top"/>
          </w:tcPr>
          <w:p>
            <w:pPr>
              <w:spacing w:line="360" w:lineRule="exact"/>
              <w:rPr>
                <w:rFonts w:hint="eastAsia" w:ascii="楷体_GB2312" w:eastAsia="楷体_GB2312"/>
                <w:szCs w:val="21"/>
                <w:highlight w:val="none"/>
              </w:rPr>
            </w:pPr>
            <w:r>
              <w:rPr>
                <w:rFonts w:hint="eastAsia" w:ascii="楷体_GB2312" w:eastAsia="楷体_GB2312"/>
                <w:szCs w:val="21"/>
                <w:highlight w:val="none"/>
              </w:rPr>
              <w:t>本金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0" w:type="dxa"/>
            <w:noWrap w:val="0"/>
            <w:vAlign w:val="center"/>
          </w:tcPr>
          <w:p>
            <w:pPr>
              <w:spacing w:line="360" w:lineRule="exact"/>
              <w:rPr>
                <w:rFonts w:hint="eastAsia" w:ascii="楷体_GB2312" w:eastAsia="楷体_GB2312"/>
                <w:szCs w:val="21"/>
                <w:highlight w:val="none"/>
                <w:lang w:val="en-US" w:eastAsia="zh-CN"/>
              </w:rPr>
            </w:pPr>
            <w:r>
              <w:rPr>
                <w:rFonts w:hint="eastAsia" w:ascii="楷体_GB2312" w:eastAsia="楷体_GB2312"/>
                <w:szCs w:val="21"/>
                <w:highlight w:val="none"/>
              </w:rPr>
              <w:t>每个法定工作日（T日）的9：00-15：</w:t>
            </w:r>
            <w:r>
              <w:rPr>
                <w:rFonts w:hint="eastAsia" w:ascii="楷体_GB2312" w:eastAsia="楷体_GB2312"/>
                <w:szCs w:val="21"/>
                <w:highlight w:val="none"/>
                <w:lang w:val="en-US" w:eastAsia="zh-CN"/>
              </w:rPr>
              <w:t>00</w:t>
            </w:r>
          </w:p>
        </w:tc>
        <w:tc>
          <w:tcPr>
            <w:tcW w:w="5646" w:type="dxa"/>
            <w:vMerge w:val="restart"/>
            <w:noWrap w:val="0"/>
            <w:vAlign w:val="center"/>
          </w:tcPr>
          <w:p>
            <w:pPr>
              <w:spacing w:line="360" w:lineRule="exact"/>
              <w:rPr>
                <w:rFonts w:hint="eastAsia" w:ascii="楷体_GB2312" w:eastAsia="楷体_GB2312"/>
                <w:szCs w:val="21"/>
                <w:highlight w:val="none"/>
                <w:lang w:val="en-US" w:eastAsia="zh-CN"/>
              </w:rPr>
            </w:pPr>
            <w:r>
              <w:rPr>
                <w:rFonts w:hint="eastAsia" w:ascii="楷体_GB2312" w:eastAsia="楷体_GB2312"/>
                <w:szCs w:val="21"/>
                <w:highlight w:val="none"/>
                <w:lang w:val="en-US" w:eastAsia="zh-CN"/>
              </w:rPr>
              <w:t>在不触碰巨额赎回的情况下,赎回本金实时到账（非交易时间段内单户赎回金额上限5万元）。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0" w:type="dxa"/>
            <w:noWrap w:val="0"/>
            <w:vAlign w:val="center"/>
          </w:tcPr>
          <w:p>
            <w:pPr>
              <w:spacing w:line="360" w:lineRule="exact"/>
              <w:rPr>
                <w:rFonts w:hint="eastAsia" w:ascii="楷体_GB2312" w:eastAsia="楷体_GB2312"/>
                <w:szCs w:val="21"/>
                <w:highlight w:val="none"/>
              </w:rPr>
            </w:pPr>
            <w:r>
              <w:rPr>
                <w:rFonts w:hint="eastAsia" w:ascii="楷体_GB2312" w:eastAsia="楷体_GB2312"/>
                <w:szCs w:val="21"/>
                <w:highlight w:val="none"/>
              </w:rPr>
              <w:t>每个法定工作日（T日）的</w:t>
            </w:r>
            <w:r>
              <w:rPr>
                <w:rFonts w:hint="eastAsia" w:ascii="楷体_GB2312" w:eastAsia="楷体_GB2312"/>
                <w:szCs w:val="21"/>
                <w:highlight w:val="none"/>
                <w:lang w:val="en-US" w:eastAsia="zh-CN"/>
              </w:rPr>
              <w:t>0:00-9：00、15:00</w:t>
            </w:r>
            <w:r>
              <w:rPr>
                <w:rFonts w:hint="eastAsia" w:ascii="楷体_GB2312" w:eastAsia="楷体_GB2312"/>
                <w:szCs w:val="21"/>
                <w:highlight w:val="none"/>
              </w:rPr>
              <w:t>-24：00以及周末、法定节假日全天</w:t>
            </w:r>
          </w:p>
        </w:tc>
        <w:tc>
          <w:tcPr>
            <w:tcW w:w="5646" w:type="dxa"/>
            <w:vMerge w:val="continue"/>
            <w:noWrap w:val="0"/>
            <w:vAlign w:val="center"/>
          </w:tcPr>
          <w:p>
            <w:pPr>
              <w:spacing w:line="360" w:lineRule="exact"/>
              <w:rPr>
                <w:rFonts w:hint="eastAsia" w:ascii="楷体_GB2312" w:eastAsia="楷体_GB2312"/>
                <w:szCs w:val="21"/>
                <w:highlight w:val="none"/>
                <w:lang w:val="en-US" w:eastAsia="zh-CN"/>
              </w:rPr>
            </w:pPr>
          </w:p>
        </w:tc>
      </w:tr>
    </w:tbl>
    <w:p>
      <w:pPr>
        <w:spacing w:line="360" w:lineRule="exact"/>
        <w:rPr>
          <w:rFonts w:hint="eastAsia"/>
          <w:highlight w:val="none"/>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420" w:firstLineChars="200"/>
        <w:textAlignment w:val="auto"/>
        <w:outlineLvl w:val="9"/>
        <w:rPr>
          <w:rFonts w:hint="eastAsia" w:ascii="楷体_GB2312" w:eastAsia="楷体_GB2312"/>
          <w:color w:val="auto"/>
          <w:szCs w:val="21"/>
          <w:highlight w:val="none"/>
          <w:lang w:val="en-US" w:eastAsia="zh-CN"/>
        </w:rPr>
      </w:pPr>
      <w:r>
        <w:rPr>
          <w:rFonts w:hint="eastAsia" w:ascii="楷体_GB2312" w:eastAsia="楷体_GB2312"/>
          <w:szCs w:val="21"/>
          <w:highlight w:val="none"/>
        </w:rPr>
        <w:t>巨额赎回的情形及处理方式</w:t>
      </w:r>
      <w:r>
        <w:rPr>
          <w:rFonts w:hint="eastAsia" w:ascii="楷体_GB2312" w:eastAsia="楷体_GB2312"/>
          <w:szCs w:val="21"/>
          <w:highlight w:val="none"/>
          <w:lang w:eastAsia="zh-CN"/>
        </w:rPr>
        <w:t>：单日净赎回份额合计超过上一工作日份额的</w:t>
      </w:r>
      <w:r>
        <w:rPr>
          <w:rFonts w:hint="eastAsia" w:ascii="楷体_GB2312" w:eastAsia="楷体_GB2312"/>
          <w:szCs w:val="21"/>
          <w:highlight w:val="none"/>
          <w:lang w:val="en-US" w:eastAsia="zh-CN"/>
        </w:rPr>
        <w:t>10%，为巨额赎回。</w:t>
      </w:r>
      <w:r>
        <w:rPr>
          <w:rFonts w:hint="eastAsia" w:ascii="楷体_GB2312" w:eastAsia="楷体_GB2312"/>
          <w:color w:val="auto"/>
          <w:szCs w:val="21"/>
          <w:highlight w:val="none"/>
          <w:lang w:val="en-US" w:eastAsia="zh-CN"/>
        </w:rPr>
        <w:t>当出现巨额赎回时，产品管理人有权视资产组合状况决定暂停赎回或全部赎回。</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420" w:firstLineChars="200"/>
        <w:textAlignment w:val="auto"/>
        <w:outlineLvl w:val="9"/>
        <w:rPr>
          <w:rFonts w:hint="eastAsia" w:ascii="楷体_GB2312" w:eastAsia="楷体_GB2312"/>
          <w:szCs w:val="21"/>
          <w:highlight w:val="none"/>
        </w:rPr>
      </w:pPr>
      <w:r>
        <w:rPr>
          <w:rFonts w:hint="eastAsia" w:ascii="楷体_GB2312" w:eastAsia="楷体_GB2312"/>
          <w:szCs w:val="21"/>
          <w:highlight w:val="none"/>
        </w:rPr>
        <w:t>产品收益与分配</w:t>
      </w:r>
      <w:r>
        <w:rPr>
          <w:rFonts w:hint="eastAsia" w:ascii="楷体_GB2312" w:eastAsia="楷体_GB2312"/>
          <w:szCs w:val="21"/>
          <w:highlight w:val="none"/>
          <w:lang w:eastAsia="zh-CN"/>
        </w:rPr>
        <w:t>：</w:t>
      </w:r>
      <w:r>
        <w:rPr>
          <w:rFonts w:hint="eastAsia" w:ascii="楷体_GB2312" w:eastAsia="楷体_GB2312"/>
          <w:szCs w:val="21"/>
          <w:highlight w:val="none"/>
        </w:rPr>
        <w:t>理财产品当期收益分配日返还的分红为自上一自然月收益分配日（含当日）至本自然月收益分配日（不含当日）期间投资者持有本理财产品份额每日已计提的收益。</w:t>
      </w:r>
    </w:p>
    <w:p>
      <w:pPr>
        <w:keepNext w:val="0"/>
        <w:keepLines w:val="0"/>
        <w:pageBreakBefore w:val="0"/>
        <w:widowControl w:val="0"/>
        <w:numPr>
          <w:ilvl w:val="255"/>
          <w:numId w:val="0"/>
        </w:numPr>
        <w:kinsoku/>
        <w:wordWrap/>
        <w:overflowPunct/>
        <w:topLinePunct w:val="0"/>
        <w:autoSpaceDE/>
        <w:autoSpaceDN/>
        <w:bidi w:val="0"/>
        <w:adjustRightInd/>
        <w:snapToGrid/>
        <w:spacing w:line="540" w:lineRule="exact"/>
        <w:ind w:firstLine="565" w:firstLineChars="201"/>
        <w:textAlignment w:val="auto"/>
        <w:outlineLvl w:val="9"/>
        <w:rPr>
          <w:rFonts w:hint="eastAsia" w:ascii="楷体_GB2312" w:eastAsia="楷体_GB2312"/>
          <w:b/>
          <w:bCs/>
          <w:sz w:val="28"/>
          <w:szCs w:val="28"/>
          <w:highlight w:val="none"/>
          <w:lang w:eastAsia="zh-CN"/>
        </w:rPr>
      </w:pPr>
      <w:r>
        <w:rPr>
          <w:rFonts w:hint="eastAsia" w:ascii="楷体_GB2312" w:eastAsia="楷体_GB2312"/>
          <w:b/>
          <w:bCs/>
          <w:sz w:val="28"/>
          <w:szCs w:val="28"/>
          <w:highlight w:val="none"/>
          <w:lang w:eastAsia="zh-CN"/>
        </w:rPr>
        <w:t>六、理财收益的测算方法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楷体_GB2312" w:eastAsia="楷体_GB2312"/>
          <w:szCs w:val="21"/>
          <w:highlight w:val="none"/>
          <w:lang w:val="en-US" w:eastAsia="zh-CN"/>
        </w:rPr>
      </w:pPr>
      <w:r>
        <w:rPr>
          <w:rFonts w:hint="eastAsia" w:ascii="楷体_GB2312" w:eastAsia="楷体_GB2312"/>
          <w:szCs w:val="21"/>
          <w:highlight w:val="none"/>
          <w:lang w:val="en-US" w:eastAsia="zh-CN"/>
        </w:rPr>
        <w:t>（一）测算方法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楷体_GB2312" w:eastAsia="楷体_GB2312"/>
          <w:szCs w:val="21"/>
          <w:highlight w:val="none"/>
        </w:rPr>
      </w:pPr>
      <w:r>
        <w:rPr>
          <w:rFonts w:hint="eastAsia" w:ascii="楷体_GB2312" w:eastAsia="楷体_GB2312"/>
          <w:szCs w:val="21"/>
          <w:highlight w:val="none"/>
          <w:lang w:val="en-US" w:eastAsia="zh-CN"/>
        </w:rPr>
        <w:t>1、</w:t>
      </w:r>
      <w:r>
        <w:rPr>
          <w:rFonts w:hint="eastAsia" w:ascii="楷体_GB2312" w:eastAsia="楷体_GB2312"/>
          <w:szCs w:val="21"/>
          <w:highlight w:val="none"/>
        </w:rPr>
        <w:t>自产品成立日起每日将实现的产品净收益（扣除相关费用后，相关费用包含固定管理费、托管费、</w:t>
      </w:r>
      <w:r>
        <w:rPr>
          <w:rFonts w:hint="eastAsia" w:ascii="楷体_GB2312" w:eastAsia="楷体_GB2312"/>
          <w:szCs w:val="21"/>
          <w:highlight w:val="none"/>
          <w:lang w:eastAsia="zh-CN"/>
        </w:rPr>
        <w:t>估值服务费、</w:t>
      </w:r>
      <w:r>
        <w:rPr>
          <w:rFonts w:hint="eastAsia" w:ascii="楷体_GB2312" w:eastAsia="楷体_GB2312"/>
          <w:szCs w:val="21"/>
          <w:highlight w:val="none"/>
        </w:rPr>
        <w:t>本理财产品运营过程中产生的增值税及附加税费等）以分红形式（或净损失）分配给理财产品持有人，使产品份额净值始终保持 1.00 元，并将该部分收益按照特定收益分配方式按月分配至客户理财账户。客户按1元固定份额净值进行申购、赎回和提前终止分配。</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楷体_GB2312" w:eastAsia="楷体_GB2312"/>
          <w:szCs w:val="21"/>
          <w:highlight w:val="none"/>
        </w:rPr>
      </w:pPr>
      <w:r>
        <w:rPr>
          <w:rFonts w:hint="eastAsia" w:ascii="楷体_GB2312" w:eastAsia="楷体_GB2312"/>
          <w:szCs w:val="21"/>
          <w:highlight w:val="none"/>
          <w:lang w:val="en-US" w:eastAsia="zh-CN"/>
        </w:rPr>
        <w:t>2、</w:t>
      </w:r>
      <w:r>
        <w:rPr>
          <w:rFonts w:hint="eastAsia" w:ascii="楷体_GB2312" w:eastAsia="楷体_GB2312"/>
          <w:szCs w:val="21"/>
          <w:highlight w:val="none"/>
        </w:rPr>
        <w:t>理财产品单位净值＝1.00元。</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楷体_GB2312" w:eastAsia="楷体_GB2312"/>
          <w:szCs w:val="21"/>
          <w:highlight w:val="none"/>
        </w:rPr>
      </w:pPr>
      <w:r>
        <w:rPr>
          <w:rFonts w:hint="eastAsia" w:ascii="楷体_GB2312" w:eastAsia="楷体_GB2312"/>
          <w:szCs w:val="21"/>
          <w:highlight w:val="none"/>
          <w:lang w:val="en-US" w:eastAsia="zh-CN"/>
        </w:rPr>
        <w:t>3、</w:t>
      </w:r>
      <w:r>
        <w:rPr>
          <w:rFonts w:hint="eastAsia" w:ascii="楷体_GB2312" w:eastAsia="楷体_GB2312"/>
          <w:szCs w:val="21"/>
          <w:highlight w:val="none"/>
        </w:rPr>
        <w:t>认（申）购份额＝认（申）购金额/1。认（申）购份额保留至0.01份理财计划份额，小数点后两位以下四舍五入。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楷体_GB2312" w:eastAsia="楷体_GB2312"/>
          <w:szCs w:val="21"/>
          <w:highlight w:val="none"/>
        </w:rPr>
      </w:pPr>
      <w:r>
        <w:rPr>
          <w:rFonts w:hint="eastAsia" w:ascii="楷体_GB2312" w:eastAsia="楷体_GB2312"/>
          <w:szCs w:val="21"/>
          <w:highlight w:val="none"/>
          <w:lang w:val="en-US" w:eastAsia="zh-CN"/>
        </w:rPr>
        <w:t>4、</w:t>
      </w:r>
      <w:r>
        <w:rPr>
          <w:rFonts w:hint="eastAsia" w:ascii="楷体_GB2312" w:eastAsia="楷体_GB2312"/>
          <w:szCs w:val="21"/>
          <w:highlight w:val="none"/>
        </w:rPr>
        <w:t>投资者收益计算依据和方法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楷体_GB2312" w:eastAsia="楷体_GB2312"/>
          <w:szCs w:val="21"/>
          <w:highlight w:val="none"/>
        </w:rPr>
      </w:pPr>
      <w:r>
        <w:rPr>
          <w:rFonts w:hint="eastAsia" w:ascii="楷体_GB2312" w:eastAsia="楷体_GB2312"/>
          <w:szCs w:val="21"/>
          <w:highlight w:val="none"/>
        </w:rPr>
        <w:t>投资者当日收益=投资者当日持有理财产品份额/10000×当日每万份理财计划份额已实现收益</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楷体_GB2312" w:eastAsia="楷体_GB2312"/>
          <w:szCs w:val="21"/>
          <w:highlight w:val="none"/>
        </w:rPr>
      </w:pPr>
      <w:r>
        <w:rPr>
          <w:rFonts w:hint="eastAsia" w:ascii="楷体_GB2312" w:eastAsia="楷体_GB2312"/>
          <w:szCs w:val="21"/>
          <w:highlight w:val="none"/>
        </w:rPr>
        <w:t>注：当日每万份理财计划份额已实现收益以</w:t>
      </w:r>
      <w:r>
        <w:rPr>
          <w:rFonts w:hint="eastAsia" w:ascii="楷体_GB2312" w:eastAsia="楷体_GB2312"/>
          <w:szCs w:val="21"/>
          <w:highlight w:val="none"/>
          <w:lang w:eastAsia="zh-CN"/>
        </w:rPr>
        <w:t>张家港</w:t>
      </w:r>
      <w:r>
        <w:rPr>
          <w:rFonts w:hint="eastAsia" w:ascii="楷体_GB2312" w:eastAsia="楷体_GB2312"/>
          <w:szCs w:val="21"/>
          <w:highlight w:val="none"/>
        </w:rPr>
        <w:t>农商银行实际公布为准。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楷体_GB2312" w:eastAsia="楷体_GB2312"/>
          <w:szCs w:val="21"/>
          <w:highlight w:val="none"/>
          <w:lang w:val="en-US" w:eastAsia="zh-CN"/>
        </w:rPr>
      </w:pPr>
      <w:r>
        <w:rPr>
          <w:rFonts w:hint="eastAsia" w:ascii="楷体_GB2312" w:eastAsia="楷体_GB2312"/>
          <w:szCs w:val="21"/>
          <w:highlight w:val="none"/>
          <w:lang w:val="en-US" w:eastAsia="zh-CN"/>
        </w:rPr>
        <w:t>（二）测算示例（数据为模拟数据，不代表产品真实收益）</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楷体_GB2312" w:eastAsia="楷体_GB2312"/>
          <w:szCs w:val="21"/>
          <w:highlight w:val="none"/>
          <w:lang w:val="en-US" w:eastAsia="zh-CN"/>
        </w:rPr>
      </w:pPr>
      <w:r>
        <w:rPr>
          <w:rFonts w:hint="eastAsia" w:ascii="楷体_GB2312" w:eastAsia="楷体_GB2312"/>
          <w:szCs w:val="21"/>
          <w:highlight w:val="none"/>
          <w:lang w:eastAsia="zh-CN"/>
        </w:rPr>
        <w:t>情景</w:t>
      </w:r>
      <w:r>
        <w:rPr>
          <w:rFonts w:hint="eastAsia" w:ascii="楷体_GB2312" w:eastAsia="楷体_GB2312"/>
          <w:szCs w:val="21"/>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楷体_GB2312" w:eastAsia="楷体_GB2312"/>
          <w:szCs w:val="21"/>
          <w:highlight w:val="none"/>
          <w:lang w:val="en-US" w:eastAsia="zh-CN"/>
        </w:rPr>
      </w:pPr>
      <w:r>
        <w:rPr>
          <w:rFonts w:hint="eastAsia" w:ascii="楷体_GB2312" w:eastAsia="楷体_GB2312"/>
          <w:szCs w:val="21"/>
          <w:highlight w:val="none"/>
          <w:lang w:val="en-US" w:eastAsia="zh-CN"/>
        </w:rPr>
        <w:t>投资者在2019年12月06日交易时间段内（9:00-15:00）申购本理财产品10万元，申购份额实时确认为10万份。假设产品分红日为每月20日（遇节假日顺延）。若该客户于12月12日交易时间段内全额赎回，则本金于12月12日实时到账，收益于12月13日到账，且客户获得的收益总额为</w:t>
      </w:r>
      <w:r>
        <w:rPr>
          <w:rFonts w:hint="eastAsia" w:ascii="楷体_GB2312" w:eastAsia="楷体_GB2312"/>
          <w:szCs w:val="21"/>
          <w:highlight w:val="none"/>
          <w:lang w:val="en-US" w:eastAsia="zh-CN"/>
        </w:rPr>
        <w:object>
          <v:shape id="_x0000_i1025" o:spt="75" type="#_x0000_t75" style="height:14.15pt;width:82.8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r>
        <w:rPr>
          <w:rFonts w:hint="eastAsia" w:ascii="楷体_GB2312" w:eastAsia="楷体_GB2312"/>
          <w:szCs w:val="21"/>
          <w:highlight w:val="none"/>
          <w:lang w:val="en-US" w:eastAsia="zh-CN"/>
        </w:rPr>
        <w:t>（保留两位小数），其中Ri为12月06日（含）至12月12日（不含）每日的每万份产品已实现收益，采用截尾的方式保留至小数点第4位。</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楷体_GB2312" w:eastAsia="楷体_GB2312"/>
          <w:szCs w:val="21"/>
          <w:highlight w:val="none"/>
          <w:lang w:val="en-US" w:eastAsia="zh-CN"/>
        </w:rPr>
      </w:pPr>
      <w:r>
        <w:rPr>
          <w:rFonts w:hint="eastAsia" w:ascii="楷体_GB2312" w:eastAsia="楷体_GB2312"/>
          <w:szCs w:val="21"/>
          <w:highlight w:val="none"/>
          <w:lang w:val="en-US" w:eastAsia="zh-CN"/>
        </w:rPr>
        <w:t>情景2.</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楷体_GB2312" w:eastAsia="楷体_GB2312"/>
          <w:szCs w:val="21"/>
          <w:highlight w:val="none"/>
          <w:lang w:val="en-US" w:eastAsia="zh-CN"/>
        </w:rPr>
      </w:pPr>
      <w:r>
        <w:rPr>
          <w:rFonts w:hint="eastAsia" w:ascii="楷体_GB2312" w:eastAsia="楷体_GB2312"/>
          <w:szCs w:val="21"/>
          <w:highlight w:val="none"/>
          <w:lang w:val="en-US" w:eastAsia="zh-CN"/>
        </w:rPr>
        <w:t>投资者在2019年12月06日交易时间段内（9:00-15:00）申购本理财产品10万元，申购份额实时确认为10万份。假设产品分红日为每月20日（遇节假日顺延）。若该客户于12月10日非交易时间段（0:00-9：00）内赎回1万份，则本金实时到账，收益将于12月20日产品分红日进行分配。</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楷体_GB2312" w:eastAsia="楷体_GB2312"/>
          <w:szCs w:val="21"/>
          <w:highlight w:val="none"/>
          <w:lang w:val="en-US" w:eastAsia="zh-CN"/>
        </w:rPr>
      </w:pPr>
      <w:r>
        <w:rPr>
          <w:rFonts w:hint="eastAsia" w:ascii="楷体_GB2312" w:eastAsia="楷体_GB2312"/>
          <w:szCs w:val="21"/>
          <w:highlight w:val="none"/>
          <w:lang w:val="en-US" w:eastAsia="zh-CN"/>
        </w:rPr>
        <w:t>情景3.</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楷体_GB2312" w:eastAsia="楷体_GB2312"/>
          <w:szCs w:val="21"/>
          <w:highlight w:val="none"/>
          <w:lang w:val="en-US" w:eastAsia="zh-CN"/>
        </w:rPr>
      </w:pPr>
      <w:r>
        <w:rPr>
          <w:rFonts w:hint="eastAsia" w:ascii="楷体_GB2312" w:eastAsia="楷体_GB2312"/>
          <w:szCs w:val="21"/>
          <w:highlight w:val="none"/>
          <w:lang w:val="en-US" w:eastAsia="zh-CN"/>
        </w:rPr>
        <w:t>投资者在2019年12月07日（周六）申购本理财产品10万元，申购份额将于12月09日（周一）确认，且确认份额为10万份。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楷体_GB2312" w:eastAsia="楷体_GB2312"/>
          <w:szCs w:val="21"/>
          <w:highlight w:val="none"/>
          <w:lang w:val="en-US" w:eastAsia="zh-CN"/>
        </w:rPr>
      </w:pPr>
      <w:r>
        <w:rPr>
          <w:rFonts w:hint="eastAsia" w:ascii="楷体_GB2312" w:eastAsia="楷体_GB2312"/>
          <w:szCs w:val="21"/>
          <w:highlight w:val="none"/>
          <w:lang w:val="en-US" w:eastAsia="zh-CN"/>
        </w:rPr>
        <w:t>最不利投资情形：如出现债券发行人不兑付债券、回购、同业存款交易对手违约等极端情况，产品运作到期后投资者无收益，并将损失全部本金。</w:t>
      </w:r>
    </w:p>
    <w:p>
      <w:pPr>
        <w:spacing w:line="360" w:lineRule="exact"/>
        <w:rPr>
          <w:rFonts w:hint="eastAsia" w:ascii="楷体_GB2312" w:eastAsia="楷体_GB2312"/>
          <w:szCs w:val="21"/>
          <w:highlight w:val="none"/>
          <w:lang w:val="en-US" w:eastAsia="zh-CN"/>
        </w:rPr>
      </w:pPr>
    </w:p>
    <w:p>
      <w:pPr>
        <w:numPr>
          <w:ilvl w:val="255"/>
          <w:numId w:val="0"/>
        </w:numPr>
        <w:spacing w:line="360" w:lineRule="exact"/>
        <w:ind w:firstLine="565" w:firstLineChars="201"/>
        <w:rPr>
          <w:rFonts w:ascii="楷体_GB2312" w:eastAsia="楷体_GB2312"/>
          <w:b/>
          <w:bCs/>
          <w:sz w:val="28"/>
          <w:szCs w:val="28"/>
          <w:highlight w:val="none"/>
        </w:rPr>
      </w:pPr>
      <w:r>
        <w:rPr>
          <w:rFonts w:hint="eastAsia" w:ascii="楷体_GB2312" w:eastAsia="楷体_GB2312"/>
          <w:b/>
          <w:bCs/>
          <w:sz w:val="28"/>
          <w:szCs w:val="28"/>
          <w:highlight w:val="none"/>
          <w:lang w:eastAsia="zh-CN"/>
        </w:rPr>
        <w:t>七</w:t>
      </w:r>
      <w:r>
        <w:rPr>
          <w:rFonts w:hint="eastAsia" w:ascii="楷体_GB2312" w:eastAsia="楷体_GB2312"/>
          <w:b/>
          <w:bCs/>
          <w:sz w:val="28"/>
          <w:szCs w:val="28"/>
          <w:highlight w:val="none"/>
        </w:rPr>
        <w:t>、信息披露</w:t>
      </w:r>
    </w:p>
    <w:p>
      <w:pPr>
        <w:spacing w:line="360" w:lineRule="exact"/>
        <w:ind w:firstLine="422" w:firstLineChars="201"/>
        <w:rPr>
          <w:rFonts w:ascii="楷体_GB2312" w:eastAsia="楷体_GB2312"/>
          <w:szCs w:val="21"/>
          <w:highlight w:val="none"/>
        </w:rPr>
      </w:pPr>
      <w:r>
        <w:rPr>
          <w:rFonts w:hint="eastAsia" w:ascii="楷体_GB2312" w:eastAsia="楷体_GB2312"/>
          <w:szCs w:val="21"/>
          <w:highlight w:val="none"/>
        </w:rPr>
        <w:t>（一）如本产品提前成立或提前终止，银行将在提前成立或终止日前2</w:t>
      </w:r>
      <w:r>
        <w:rPr>
          <w:rFonts w:hint="eastAsia" w:ascii="楷体_GB2312" w:eastAsia="楷体_GB2312"/>
          <w:szCs w:val="21"/>
          <w:highlight w:val="none"/>
          <w:lang w:eastAsia="zh-CN"/>
        </w:rPr>
        <w:t>个</w:t>
      </w:r>
      <w:r>
        <w:rPr>
          <w:rFonts w:hint="eastAsia" w:ascii="楷体_GB2312" w:eastAsia="楷体_GB2312"/>
          <w:szCs w:val="21"/>
          <w:highlight w:val="none"/>
        </w:rPr>
        <w:t>工作日，在网站发布相关信息。</w:t>
      </w:r>
    </w:p>
    <w:p>
      <w:pPr>
        <w:spacing w:line="360" w:lineRule="exact"/>
        <w:ind w:firstLine="422" w:firstLineChars="201"/>
        <w:rPr>
          <w:rFonts w:hint="eastAsia" w:ascii="楷体_GB2312" w:eastAsia="楷体_GB2312"/>
          <w:szCs w:val="21"/>
          <w:highlight w:val="none"/>
        </w:rPr>
      </w:pPr>
      <w:r>
        <w:rPr>
          <w:rFonts w:hint="eastAsia" w:ascii="楷体_GB2312" w:eastAsia="楷体_GB2312"/>
          <w:szCs w:val="21"/>
          <w:highlight w:val="none"/>
        </w:rPr>
        <w:t>（</w:t>
      </w:r>
      <w:r>
        <w:rPr>
          <w:rFonts w:hint="eastAsia" w:ascii="楷体_GB2312" w:eastAsia="楷体_GB2312"/>
          <w:szCs w:val="21"/>
          <w:highlight w:val="none"/>
          <w:lang w:eastAsia="zh-CN"/>
        </w:rPr>
        <w:t>二</w:t>
      </w:r>
      <w:r>
        <w:rPr>
          <w:rFonts w:hint="eastAsia" w:ascii="楷体_GB2312" w:eastAsia="楷体_GB2312"/>
          <w:szCs w:val="21"/>
          <w:highlight w:val="none"/>
        </w:rPr>
        <w:t>）本产品正常成立后5个工作日内，通过网站发布产品成立报告。</w:t>
      </w:r>
    </w:p>
    <w:p>
      <w:pPr>
        <w:spacing w:line="360" w:lineRule="exact"/>
        <w:ind w:firstLine="422" w:firstLineChars="201"/>
        <w:rPr>
          <w:rFonts w:hint="eastAsia" w:ascii="楷体_GB2312" w:eastAsia="楷体_GB2312"/>
          <w:szCs w:val="21"/>
          <w:highlight w:val="none"/>
          <w:lang w:eastAsia="zh-CN"/>
        </w:rPr>
      </w:pPr>
      <w:r>
        <w:rPr>
          <w:rFonts w:hint="eastAsia" w:ascii="楷体_GB2312" w:eastAsia="楷体_GB2312"/>
          <w:szCs w:val="21"/>
          <w:highlight w:val="none"/>
          <w:lang w:eastAsia="zh-CN"/>
        </w:rPr>
        <w:t>（三）本产品存续期内，银行将于每个工作日通过官网公布上一日已实现的万份收益及七日年化收益率。</w:t>
      </w:r>
    </w:p>
    <w:p>
      <w:pPr>
        <w:spacing w:line="360" w:lineRule="exact"/>
        <w:ind w:firstLine="422" w:firstLineChars="201"/>
        <w:rPr>
          <w:rFonts w:ascii="楷体_GB2312" w:eastAsia="楷体_GB2312"/>
          <w:szCs w:val="21"/>
          <w:highlight w:val="none"/>
        </w:rPr>
      </w:pPr>
      <w:r>
        <w:rPr>
          <w:rFonts w:hint="eastAsia" w:ascii="楷体_GB2312" w:eastAsia="楷体_GB2312"/>
          <w:szCs w:val="21"/>
          <w:highlight w:val="none"/>
        </w:rPr>
        <w:t>（</w:t>
      </w:r>
      <w:r>
        <w:rPr>
          <w:rFonts w:hint="eastAsia" w:ascii="楷体_GB2312" w:eastAsia="楷体_GB2312"/>
          <w:szCs w:val="21"/>
          <w:highlight w:val="none"/>
          <w:lang w:eastAsia="zh-CN"/>
        </w:rPr>
        <w:t>四</w:t>
      </w:r>
      <w:r>
        <w:rPr>
          <w:rFonts w:hint="eastAsia" w:ascii="楷体_GB2312" w:eastAsia="楷体_GB2312"/>
          <w:szCs w:val="21"/>
          <w:highlight w:val="none"/>
        </w:rPr>
        <w:t>）本产品终止后5个工作日内，通过网站公布发布产品到期报告。</w:t>
      </w:r>
    </w:p>
    <w:p>
      <w:pPr>
        <w:spacing w:line="360" w:lineRule="exact"/>
        <w:ind w:firstLine="422" w:firstLineChars="201"/>
        <w:rPr>
          <w:rFonts w:ascii="楷体_GB2312" w:eastAsia="楷体_GB2312"/>
          <w:szCs w:val="21"/>
          <w:highlight w:val="none"/>
        </w:rPr>
      </w:pPr>
      <w:r>
        <w:rPr>
          <w:rFonts w:hint="eastAsia" w:ascii="楷体_GB2312" w:eastAsia="楷体_GB2312"/>
          <w:szCs w:val="21"/>
          <w:highlight w:val="none"/>
        </w:rPr>
        <w:t>（</w:t>
      </w:r>
      <w:r>
        <w:rPr>
          <w:rFonts w:hint="eastAsia" w:ascii="楷体_GB2312" w:eastAsia="楷体_GB2312"/>
          <w:szCs w:val="21"/>
          <w:highlight w:val="none"/>
          <w:lang w:eastAsia="zh-CN"/>
        </w:rPr>
        <w:t>五</w:t>
      </w:r>
      <w:r>
        <w:rPr>
          <w:rFonts w:hint="eastAsia" w:ascii="楷体_GB2312" w:eastAsia="楷体_GB2312"/>
          <w:szCs w:val="21"/>
          <w:highlight w:val="none"/>
        </w:rPr>
        <w:t>）在本产品存续期间，银行至少提前1个工作日，通过网站发布相关信息，对本产品的投资范围、投资品种或产品说明书其他条款进行补充、说明和修改。客户如不同意补充或修改后的说明书，可赎回本产品。</w:t>
      </w:r>
    </w:p>
    <w:p>
      <w:pPr>
        <w:spacing w:line="360" w:lineRule="exact"/>
        <w:ind w:firstLine="422" w:firstLineChars="201"/>
        <w:rPr>
          <w:rFonts w:ascii="楷体_GB2312" w:eastAsia="楷体_GB2312"/>
          <w:szCs w:val="21"/>
          <w:highlight w:val="none"/>
        </w:rPr>
      </w:pPr>
      <w:r>
        <w:rPr>
          <w:rFonts w:hint="eastAsia" w:ascii="楷体_GB2312" w:eastAsia="楷体_GB2312"/>
          <w:szCs w:val="21"/>
          <w:highlight w:val="none"/>
        </w:rPr>
        <w:t>（</w:t>
      </w:r>
      <w:r>
        <w:rPr>
          <w:rFonts w:hint="eastAsia" w:ascii="楷体_GB2312" w:eastAsia="楷体_GB2312"/>
          <w:szCs w:val="21"/>
          <w:highlight w:val="none"/>
          <w:lang w:eastAsia="zh-CN"/>
        </w:rPr>
        <w:t>六</w:t>
      </w:r>
      <w:r>
        <w:rPr>
          <w:rFonts w:hint="eastAsia" w:ascii="楷体_GB2312" w:eastAsia="楷体_GB2312"/>
          <w:szCs w:val="21"/>
          <w:highlight w:val="none"/>
        </w:rPr>
        <w:t>）产品存续期间如发生对理财产品投资者或者理财产品收益产生重大影响的事件后，银行2日内发布重大事项公告，银行可视情况选择以下一种或多种方式告知客户：网站、相关营业网点发布、电子邮件、电话、以信函形式邮寄、手机短信等。</w:t>
      </w:r>
    </w:p>
    <w:p>
      <w:pPr>
        <w:spacing w:line="360" w:lineRule="exact"/>
        <w:ind w:firstLine="565" w:firstLineChars="201"/>
        <w:rPr>
          <w:rFonts w:ascii="楷体" w:hAnsi="楷体" w:eastAsia="楷体" w:cs="楷体"/>
          <w:b/>
          <w:bCs/>
          <w:sz w:val="28"/>
          <w:szCs w:val="28"/>
          <w:highlight w:val="none"/>
        </w:rPr>
      </w:pPr>
    </w:p>
    <w:p>
      <w:pPr>
        <w:numPr>
          <w:ilvl w:val="255"/>
          <w:numId w:val="0"/>
        </w:numPr>
        <w:spacing w:line="360" w:lineRule="exact"/>
        <w:ind w:firstLine="565" w:firstLineChars="201"/>
        <w:rPr>
          <w:rFonts w:ascii="楷体_GB2312" w:eastAsia="楷体_GB2312"/>
          <w:b/>
          <w:bCs/>
          <w:sz w:val="28"/>
          <w:szCs w:val="28"/>
          <w:highlight w:val="none"/>
        </w:rPr>
      </w:pPr>
      <w:r>
        <w:rPr>
          <w:rFonts w:hint="eastAsia" w:ascii="楷体_GB2312" w:eastAsia="楷体_GB2312"/>
          <w:b/>
          <w:bCs/>
          <w:sz w:val="28"/>
          <w:szCs w:val="28"/>
          <w:highlight w:val="none"/>
          <w:lang w:eastAsia="zh-CN"/>
        </w:rPr>
        <w:t>八</w:t>
      </w:r>
      <w:r>
        <w:rPr>
          <w:rFonts w:hint="eastAsia" w:ascii="楷体_GB2312" w:eastAsia="楷体_GB2312"/>
          <w:b/>
          <w:bCs/>
          <w:sz w:val="28"/>
          <w:szCs w:val="28"/>
          <w:highlight w:val="none"/>
        </w:rPr>
        <w:t>、理财计划的提前终止</w:t>
      </w:r>
    </w:p>
    <w:p>
      <w:pPr>
        <w:spacing w:line="360" w:lineRule="exact"/>
        <w:ind w:firstLine="422" w:firstLineChars="201"/>
        <w:rPr>
          <w:rFonts w:ascii="楷体_GB2312" w:eastAsia="楷体_GB2312"/>
          <w:szCs w:val="21"/>
          <w:highlight w:val="none"/>
        </w:rPr>
      </w:pPr>
      <w:r>
        <w:rPr>
          <w:rFonts w:hint="eastAsia" w:ascii="楷体_GB2312" w:eastAsia="楷体_GB2312"/>
          <w:szCs w:val="21"/>
          <w:highlight w:val="none"/>
        </w:rPr>
        <w:t>（一）在理财期限内，银行根据投资情况有提前终止权，如发生以下事项时，银行可对本理财产品行使全部提前终止权。</w:t>
      </w:r>
    </w:p>
    <w:p>
      <w:pPr>
        <w:spacing w:line="360" w:lineRule="exact"/>
        <w:ind w:firstLine="422" w:firstLineChars="201"/>
        <w:rPr>
          <w:rFonts w:ascii="楷体_GB2312" w:eastAsia="楷体_GB2312"/>
          <w:szCs w:val="21"/>
          <w:highlight w:val="none"/>
        </w:rPr>
      </w:pPr>
      <w:r>
        <w:rPr>
          <w:rFonts w:hint="eastAsia" w:ascii="楷体_GB2312" w:eastAsia="楷体_GB2312"/>
          <w:szCs w:val="21"/>
          <w:highlight w:val="none"/>
        </w:rPr>
        <w:t>1、如因本理财产品资产运作模式等与法律法规、规章的规定或者监管部门的要求等存在冲突导致理财产品必须提前终止的；</w:t>
      </w:r>
    </w:p>
    <w:p>
      <w:pPr>
        <w:spacing w:line="360" w:lineRule="exact"/>
        <w:ind w:firstLine="422" w:firstLineChars="201"/>
        <w:rPr>
          <w:rFonts w:ascii="楷体_GB2312" w:eastAsia="楷体_GB2312"/>
          <w:szCs w:val="21"/>
          <w:highlight w:val="none"/>
        </w:rPr>
      </w:pPr>
      <w:r>
        <w:rPr>
          <w:rFonts w:hint="eastAsia" w:ascii="楷体_GB2312" w:eastAsia="楷体_GB2312"/>
          <w:szCs w:val="21"/>
          <w:highlight w:val="none"/>
        </w:rPr>
        <w:t>2、国家有关法律、法规、规章、政策的改变、紧急措施的出台、理财市场环境发生重大变化等导致理财产品必须提前终止的；</w:t>
      </w:r>
    </w:p>
    <w:p>
      <w:pPr>
        <w:spacing w:line="360" w:lineRule="exact"/>
        <w:ind w:firstLine="422" w:firstLineChars="201"/>
        <w:rPr>
          <w:rFonts w:ascii="楷体_GB2312" w:eastAsia="楷体_GB2312"/>
          <w:szCs w:val="21"/>
          <w:highlight w:val="none"/>
        </w:rPr>
      </w:pPr>
      <w:r>
        <w:rPr>
          <w:rFonts w:hint="eastAsia" w:ascii="楷体_GB2312" w:eastAsia="楷体_GB2312"/>
          <w:szCs w:val="21"/>
          <w:highlight w:val="none"/>
        </w:rPr>
        <w:t>3、因地震、火灾、战争、罢工等不可抗力因素导致本理财产品必须提前终止的；</w:t>
      </w:r>
    </w:p>
    <w:p>
      <w:pPr>
        <w:spacing w:line="360" w:lineRule="exact"/>
        <w:ind w:firstLine="422" w:firstLineChars="201"/>
        <w:rPr>
          <w:rFonts w:ascii="楷体_GB2312" w:eastAsia="楷体_GB2312"/>
          <w:szCs w:val="21"/>
          <w:highlight w:val="none"/>
        </w:rPr>
      </w:pPr>
      <w:r>
        <w:rPr>
          <w:rFonts w:hint="eastAsia" w:ascii="楷体_GB2312" w:eastAsia="楷体_GB2312"/>
          <w:szCs w:val="21"/>
          <w:highlight w:val="none"/>
        </w:rPr>
        <w:t>4、银行认为应该提前终止本理财产品的其他情况；</w:t>
      </w:r>
    </w:p>
    <w:p>
      <w:pPr>
        <w:numPr>
          <w:ilvl w:val="0"/>
          <w:numId w:val="3"/>
        </w:numPr>
        <w:spacing w:line="360" w:lineRule="exact"/>
        <w:ind w:firstLine="422" w:firstLineChars="201"/>
        <w:rPr>
          <w:rFonts w:ascii="楷体_GB2312" w:eastAsia="楷体_GB2312"/>
          <w:szCs w:val="21"/>
          <w:highlight w:val="none"/>
        </w:rPr>
      </w:pPr>
      <w:r>
        <w:rPr>
          <w:rFonts w:hint="eastAsia" w:ascii="楷体_GB2312" w:eastAsia="楷体_GB2312"/>
          <w:szCs w:val="21"/>
          <w:highlight w:val="none"/>
        </w:rPr>
        <w:t>在理财存续期间，银行根据投资有提前终止权，投资者无提前终止权，但如下情形除外：</w:t>
      </w:r>
    </w:p>
    <w:p>
      <w:pPr>
        <w:spacing w:line="360" w:lineRule="exact"/>
        <w:ind w:firstLine="422" w:firstLineChars="201"/>
        <w:rPr>
          <w:rFonts w:hint="eastAsia" w:ascii="楷体_GB2312" w:eastAsia="楷体_GB2312"/>
          <w:szCs w:val="21"/>
          <w:highlight w:val="none"/>
        </w:rPr>
      </w:pPr>
      <w:r>
        <w:rPr>
          <w:rFonts w:hint="eastAsia" w:ascii="楷体_GB2312" w:eastAsia="楷体_GB2312"/>
          <w:szCs w:val="21"/>
          <w:highlight w:val="none"/>
        </w:rPr>
        <w:t>1、银行根据市场情况调整本产品投资范围、投资资产种类或投资比例，并按照有关规定事先进行信息披露后，如投资者不接受的，则投资者可按照销售文件的约定提前赎回。</w:t>
      </w:r>
    </w:p>
    <w:p>
      <w:pPr>
        <w:spacing w:line="360" w:lineRule="exact"/>
        <w:ind w:firstLine="422" w:firstLineChars="201"/>
        <w:rPr>
          <w:rFonts w:hint="eastAsia" w:ascii="楷体_GB2312" w:eastAsia="楷体_GB2312"/>
          <w:szCs w:val="21"/>
          <w:highlight w:val="none"/>
        </w:rPr>
      </w:pPr>
      <w:r>
        <w:rPr>
          <w:rFonts w:hint="eastAsia" w:ascii="楷体_GB2312" w:eastAsia="楷体_GB2312"/>
          <w:szCs w:val="21"/>
          <w:highlight w:val="none"/>
        </w:rPr>
        <w:t>2、银行根据相关法律和国家政策规定，对已约定的理财产品收费项目、条件、标准和方式进行调整时，在按照有关规定进行信息披露后，如投资者不接受的，则投资者可按照销售文件的约定提前赎回。</w:t>
      </w:r>
    </w:p>
    <w:p>
      <w:pPr>
        <w:numPr>
          <w:ilvl w:val="255"/>
          <w:numId w:val="0"/>
        </w:numPr>
        <w:spacing w:line="360" w:lineRule="exact"/>
        <w:rPr>
          <w:rFonts w:ascii="楷体_GB2312" w:eastAsia="楷体_GB2312"/>
          <w:b/>
          <w:bCs/>
          <w:sz w:val="28"/>
          <w:szCs w:val="28"/>
          <w:highlight w:val="none"/>
        </w:rPr>
      </w:pPr>
    </w:p>
    <w:p>
      <w:pPr>
        <w:numPr>
          <w:ilvl w:val="255"/>
          <w:numId w:val="0"/>
        </w:numPr>
        <w:spacing w:line="360" w:lineRule="exact"/>
        <w:ind w:firstLine="565" w:firstLineChars="201"/>
        <w:rPr>
          <w:rFonts w:ascii="楷体_GB2312" w:eastAsia="楷体_GB2312"/>
          <w:b/>
          <w:bCs/>
          <w:sz w:val="28"/>
          <w:szCs w:val="28"/>
          <w:highlight w:val="none"/>
        </w:rPr>
      </w:pPr>
      <w:r>
        <w:rPr>
          <w:rFonts w:hint="eastAsia" w:ascii="楷体_GB2312" w:eastAsia="楷体_GB2312"/>
          <w:b/>
          <w:bCs/>
          <w:sz w:val="28"/>
          <w:szCs w:val="28"/>
          <w:highlight w:val="none"/>
          <w:lang w:eastAsia="zh-CN"/>
        </w:rPr>
        <w:t>九</w:t>
      </w:r>
      <w:r>
        <w:rPr>
          <w:rFonts w:hint="eastAsia" w:ascii="楷体_GB2312" w:eastAsia="楷体_GB2312"/>
          <w:b/>
          <w:bCs/>
          <w:sz w:val="28"/>
          <w:szCs w:val="28"/>
          <w:highlight w:val="none"/>
        </w:rPr>
        <w:t>、产品终止清算</w:t>
      </w:r>
    </w:p>
    <w:p>
      <w:pPr>
        <w:spacing w:line="360" w:lineRule="exact"/>
        <w:ind w:firstLine="422" w:firstLineChars="201"/>
        <w:rPr>
          <w:rFonts w:ascii="楷体_GB2312" w:eastAsia="楷体_GB2312"/>
          <w:szCs w:val="21"/>
          <w:highlight w:val="none"/>
        </w:rPr>
      </w:pPr>
      <w:r>
        <w:rPr>
          <w:rFonts w:hint="eastAsia" w:ascii="楷体_GB2312" w:eastAsia="楷体_GB2312"/>
          <w:szCs w:val="21"/>
          <w:highlight w:val="none"/>
        </w:rPr>
        <w:t>产品终止，应当按照法律法规和本产品说明书的有关规定对产品资产进行清算。</w:t>
      </w:r>
    </w:p>
    <w:p>
      <w:pPr>
        <w:spacing w:line="360" w:lineRule="exact"/>
        <w:ind w:firstLine="422" w:firstLineChars="201"/>
        <w:rPr>
          <w:rFonts w:ascii="楷体_GB2312" w:eastAsia="楷体_GB2312"/>
          <w:szCs w:val="21"/>
          <w:highlight w:val="none"/>
        </w:rPr>
      </w:pPr>
      <w:r>
        <w:rPr>
          <w:rFonts w:hint="eastAsia" w:ascii="楷体_GB2312" w:eastAsia="楷体_GB2312"/>
          <w:szCs w:val="21"/>
          <w:highlight w:val="none"/>
        </w:rPr>
        <w:t>（一）清算程序</w:t>
      </w:r>
    </w:p>
    <w:p>
      <w:pPr>
        <w:spacing w:line="360" w:lineRule="exact"/>
        <w:ind w:firstLine="422" w:firstLineChars="201"/>
        <w:rPr>
          <w:rFonts w:ascii="楷体_GB2312" w:eastAsia="楷体_GB2312"/>
          <w:szCs w:val="21"/>
          <w:highlight w:val="none"/>
        </w:rPr>
      </w:pPr>
      <w:r>
        <w:rPr>
          <w:rFonts w:hint="eastAsia" w:ascii="楷体_GB2312" w:eastAsia="楷体_GB2312"/>
          <w:szCs w:val="21"/>
          <w:highlight w:val="none"/>
        </w:rPr>
        <w:t>1、产品终止后，由管理人和产品托管人共同组成资产清算组；</w:t>
      </w:r>
    </w:p>
    <w:p>
      <w:pPr>
        <w:spacing w:line="360" w:lineRule="exact"/>
        <w:ind w:firstLine="422" w:firstLineChars="201"/>
        <w:rPr>
          <w:rFonts w:ascii="楷体_GB2312" w:eastAsia="楷体_GB2312"/>
          <w:szCs w:val="21"/>
          <w:highlight w:val="none"/>
        </w:rPr>
      </w:pPr>
      <w:r>
        <w:rPr>
          <w:rFonts w:hint="eastAsia" w:ascii="楷体_GB2312" w:eastAsia="楷体_GB2312"/>
          <w:szCs w:val="21"/>
          <w:highlight w:val="none"/>
        </w:rPr>
        <w:t>2、产品资产清算组根据产品资产的情况确定清算期限，清算最长期限不得超过5个工作日，清算期超过5日的，银行将在理财产品终止前，通过网站向投资者进行披露。</w:t>
      </w:r>
    </w:p>
    <w:p>
      <w:pPr>
        <w:spacing w:line="360" w:lineRule="exact"/>
        <w:ind w:firstLine="422" w:firstLineChars="201"/>
        <w:rPr>
          <w:rFonts w:ascii="楷体_GB2312" w:eastAsia="楷体_GB2312"/>
          <w:szCs w:val="21"/>
          <w:highlight w:val="none"/>
        </w:rPr>
      </w:pPr>
      <w:r>
        <w:rPr>
          <w:rFonts w:hint="eastAsia" w:ascii="楷体_GB2312" w:eastAsia="楷体_GB2312"/>
          <w:szCs w:val="21"/>
          <w:highlight w:val="none"/>
        </w:rPr>
        <w:t>3、产品资产清算组对产品资产进行清理和确认；</w:t>
      </w:r>
    </w:p>
    <w:p>
      <w:pPr>
        <w:spacing w:line="360" w:lineRule="exact"/>
        <w:ind w:firstLine="422" w:firstLineChars="201"/>
        <w:rPr>
          <w:rFonts w:ascii="楷体_GB2312" w:eastAsia="楷体_GB2312"/>
          <w:szCs w:val="21"/>
          <w:highlight w:val="none"/>
        </w:rPr>
      </w:pPr>
      <w:r>
        <w:rPr>
          <w:rFonts w:hint="eastAsia" w:ascii="楷体_GB2312" w:eastAsia="楷体_GB2312"/>
          <w:szCs w:val="21"/>
          <w:highlight w:val="none"/>
        </w:rPr>
        <w:t>4、对产品资产进行评估和变现；</w:t>
      </w:r>
    </w:p>
    <w:p>
      <w:pPr>
        <w:spacing w:line="360" w:lineRule="exact"/>
        <w:ind w:firstLine="422" w:firstLineChars="201"/>
        <w:rPr>
          <w:rFonts w:ascii="楷体_GB2312" w:eastAsia="楷体_GB2312"/>
          <w:szCs w:val="21"/>
          <w:highlight w:val="none"/>
        </w:rPr>
      </w:pPr>
      <w:r>
        <w:rPr>
          <w:rFonts w:hint="eastAsia" w:ascii="楷体_GB2312" w:eastAsia="楷体_GB2312"/>
          <w:szCs w:val="21"/>
          <w:highlight w:val="none"/>
        </w:rPr>
        <w:t>5、公布产品清算公告；</w:t>
      </w:r>
    </w:p>
    <w:p>
      <w:pPr>
        <w:spacing w:line="360" w:lineRule="exact"/>
        <w:ind w:firstLine="422" w:firstLineChars="201"/>
        <w:rPr>
          <w:rFonts w:ascii="楷体_GB2312" w:eastAsia="楷体_GB2312"/>
          <w:szCs w:val="21"/>
          <w:highlight w:val="none"/>
        </w:rPr>
      </w:pPr>
      <w:r>
        <w:rPr>
          <w:rFonts w:hint="eastAsia" w:ascii="楷体_GB2312" w:eastAsia="楷体_GB2312"/>
          <w:szCs w:val="21"/>
          <w:highlight w:val="none"/>
        </w:rPr>
        <w:t>6、对产品资产进行分配。</w:t>
      </w:r>
    </w:p>
    <w:p>
      <w:pPr>
        <w:spacing w:line="360" w:lineRule="exact"/>
        <w:ind w:firstLine="422" w:firstLineChars="201"/>
        <w:rPr>
          <w:rFonts w:ascii="楷体_GB2312" w:eastAsia="楷体_GB2312"/>
          <w:szCs w:val="21"/>
          <w:highlight w:val="none"/>
        </w:rPr>
      </w:pPr>
      <w:r>
        <w:rPr>
          <w:rFonts w:hint="eastAsia" w:ascii="楷体_GB2312" w:eastAsia="楷体_GB2312"/>
          <w:szCs w:val="21"/>
          <w:highlight w:val="none"/>
        </w:rPr>
        <w:t>（二）清算费用</w:t>
      </w:r>
    </w:p>
    <w:p>
      <w:pPr>
        <w:spacing w:line="360" w:lineRule="exact"/>
        <w:ind w:firstLine="422" w:firstLineChars="201"/>
        <w:rPr>
          <w:rFonts w:ascii="楷体_GB2312" w:eastAsia="楷体_GB2312"/>
          <w:szCs w:val="21"/>
          <w:highlight w:val="none"/>
        </w:rPr>
      </w:pPr>
      <w:r>
        <w:rPr>
          <w:rFonts w:hint="eastAsia" w:ascii="楷体_GB2312" w:eastAsia="楷体_GB2312"/>
          <w:szCs w:val="21"/>
          <w:highlight w:val="none"/>
        </w:rPr>
        <w:t>分别按照实际发生费用从产品资产中列支。</w:t>
      </w:r>
    </w:p>
    <w:p>
      <w:pPr>
        <w:spacing w:line="360" w:lineRule="exact"/>
        <w:ind w:firstLine="422" w:firstLineChars="201"/>
        <w:rPr>
          <w:rFonts w:ascii="楷体_GB2312" w:eastAsia="楷体_GB2312"/>
          <w:szCs w:val="21"/>
          <w:highlight w:val="none"/>
        </w:rPr>
      </w:pPr>
      <w:r>
        <w:rPr>
          <w:rFonts w:hint="eastAsia" w:ascii="楷体_GB2312" w:eastAsia="楷体_GB2312"/>
          <w:szCs w:val="21"/>
          <w:highlight w:val="none"/>
        </w:rPr>
        <w:t>（三）产品资产清算剩余资产的分配</w:t>
      </w:r>
    </w:p>
    <w:p>
      <w:pPr>
        <w:spacing w:line="360" w:lineRule="exact"/>
        <w:ind w:firstLine="422" w:firstLineChars="201"/>
        <w:rPr>
          <w:rFonts w:ascii="楷体_GB2312" w:eastAsia="楷体_GB2312"/>
          <w:szCs w:val="21"/>
          <w:highlight w:val="none"/>
        </w:rPr>
      </w:pPr>
      <w:r>
        <w:rPr>
          <w:rFonts w:hint="eastAsia" w:ascii="楷体_GB2312" w:eastAsia="楷体_GB2312"/>
          <w:szCs w:val="21"/>
          <w:highlight w:val="none"/>
        </w:rPr>
        <w:t>产品资产按下列顺序清偿：</w:t>
      </w:r>
    </w:p>
    <w:p>
      <w:pPr>
        <w:spacing w:line="360" w:lineRule="exact"/>
        <w:ind w:firstLine="422" w:firstLineChars="201"/>
        <w:rPr>
          <w:rFonts w:ascii="楷体_GB2312" w:eastAsia="楷体_GB2312"/>
          <w:szCs w:val="21"/>
          <w:highlight w:val="none"/>
        </w:rPr>
      </w:pPr>
      <w:r>
        <w:rPr>
          <w:rFonts w:hint="eastAsia" w:ascii="楷体_GB2312" w:eastAsia="楷体_GB2312"/>
          <w:szCs w:val="21"/>
          <w:highlight w:val="none"/>
        </w:rPr>
        <w:t>1、支付清算费用；</w:t>
      </w:r>
    </w:p>
    <w:p>
      <w:pPr>
        <w:spacing w:line="360" w:lineRule="exact"/>
        <w:ind w:firstLine="422" w:firstLineChars="201"/>
        <w:rPr>
          <w:rFonts w:ascii="楷体_GB2312" w:eastAsia="楷体_GB2312"/>
          <w:szCs w:val="21"/>
          <w:highlight w:val="none"/>
        </w:rPr>
      </w:pPr>
      <w:r>
        <w:rPr>
          <w:rFonts w:hint="eastAsia" w:ascii="楷体_GB2312" w:eastAsia="楷体_GB2312"/>
          <w:szCs w:val="21"/>
          <w:highlight w:val="none"/>
        </w:rPr>
        <w:t>2、交纳所欠税款；</w:t>
      </w:r>
    </w:p>
    <w:p>
      <w:pPr>
        <w:spacing w:line="360" w:lineRule="exact"/>
        <w:ind w:firstLine="422" w:firstLineChars="201"/>
        <w:rPr>
          <w:rFonts w:ascii="楷体_GB2312" w:eastAsia="楷体_GB2312"/>
          <w:szCs w:val="21"/>
          <w:highlight w:val="none"/>
        </w:rPr>
      </w:pPr>
      <w:r>
        <w:rPr>
          <w:rFonts w:hint="eastAsia" w:ascii="楷体_GB2312" w:eastAsia="楷体_GB2312"/>
          <w:szCs w:val="21"/>
          <w:highlight w:val="none"/>
        </w:rPr>
        <w:t>3、清偿产品债务；</w:t>
      </w:r>
    </w:p>
    <w:p>
      <w:pPr>
        <w:spacing w:line="360" w:lineRule="exact"/>
        <w:ind w:firstLine="422" w:firstLineChars="201"/>
        <w:rPr>
          <w:rFonts w:ascii="楷体_GB2312" w:eastAsia="楷体_GB2312"/>
          <w:szCs w:val="21"/>
          <w:highlight w:val="none"/>
        </w:rPr>
      </w:pPr>
      <w:r>
        <w:rPr>
          <w:rFonts w:hint="eastAsia" w:ascii="楷体_GB2312" w:eastAsia="楷体_GB2312"/>
          <w:szCs w:val="21"/>
          <w:highlight w:val="none"/>
        </w:rPr>
        <w:t>4、按产品份额持有人持有的产品份额比例进行分配。</w:t>
      </w:r>
    </w:p>
    <w:p>
      <w:pPr>
        <w:spacing w:line="360" w:lineRule="exact"/>
        <w:ind w:firstLine="422" w:firstLineChars="201"/>
        <w:rPr>
          <w:rFonts w:ascii="楷体_GB2312" w:eastAsia="楷体_GB2312"/>
          <w:szCs w:val="21"/>
          <w:highlight w:val="none"/>
        </w:rPr>
      </w:pPr>
      <w:r>
        <w:rPr>
          <w:rFonts w:hint="eastAsia" w:ascii="楷体_GB2312" w:eastAsia="楷体_GB2312"/>
          <w:szCs w:val="21"/>
          <w:highlight w:val="none"/>
        </w:rPr>
        <w:t>产品资产未按前款（1）至（3）项规定清偿前，不分配给产品份额持有人。</w:t>
      </w:r>
    </w:p>
    <w:p>
      <w:pPr>
        <w:spacing w:line="360" w:lineRule="exact"/>
        <w:ind w:firstLine="422" w:firstLineChars="201"/>
        <w:rPr>
          <w:highlight w:val="none"/>
        </w:rPr>
      </w:pPr>
    </w:p>
    <w:p>
      <w:pPr>
        <w:spacing w:line="360" w:lineRule="exact"/>
        <w:ind w:firstLine="422" w:firstLineChars="201"/>
        <w:rPr>
          <w:highlight w:val="none"/>
        </w:rPr>
      </w:pPr>
    </w:p>
    <w:p>
      <w:pPr>
        <w:numPr>
          <w:ilvl w:val="255"/>
          <w:numId w:val="0"/>
        </w:numPr>
        <w:spacing w:line="360" w:lineRule="exact"/>
        <w:ind w:firstLine="565" w:firstLineChars="201"/>
        <w:rPr>
          <w:rFonts w:ascii="楷体_GB2312" w:eastAsia="楷体_GB2312"/>
          <w:b/>
          <w:bCs/>
          <w:sz w:val="28"/>
          <w:szCs w:val="28"/>
          <w:highlight w:val="none"/>
        </w:rPr>
      </w:pPr>
      <w:r>
        <w:rPr>
          <w:rFonts w:hint="eastAsia" w:ascii="楷体_GB2312" w:eastAsia="楷体_GB2312"/>
          <w:b/>
          <w:bCs/>
          <w:sz w:val="28"/>
          <w:szCs w:val="28"/>
          <w:highlight w:val="none"/>
          <w:lang w:eastAsia="zh-CN"/>
        </w:rPr>
        <w:t>十</w:t>
      </w:r>
      <w:r>
        <w:rPr>
          <w:rFonts w:hint="eastAsia" w:ascii="楷体_GB2312" w:eastAsia="楷体_GB2312"/>
          <w:b/>
          <w:bCs/>
          <w:sz w:val="28"/>
          <w:szCs w:val="28"/>
          <w:highlight w:val="none"/>
        </w:rPr>
        <w:t>、相关事项的说明</w:t>
      </w:r>
    </w:p>
    <w:p>
      <w:pPr>
        <w:spacing w:line="360" w:lineRule="exact"/>
        <w:ind w:firstLine="422" w:firstLineChars="201"/>
        <w:rPr>
          <w:rFonts w:ascii="楷体_GB2312" w:eastAsia="楷体_GB2312"/>
          <w:szCs w:val="21"/>
          <w:highlight w:val="none"/>
        </w:rPr>
      </w:pPr>
      <w:r>
        <w:rPr>
          <w:rFonts w:hint="eastAsia" w:ascii="楷体_GB2312" w:eastAsia="楷体_GB2312"/>
          <w:szCs w:val="21"/>
          <w:highlight w:val="none"/>
        </w:rPr>
        <w:t>（一）购买对象：依据中华人民共和国有关法律法规及其他有关规定向可以购买本理财产品的</w:t>
      </w:r>
      <w:r>
        <w:rPr>
          <w:rFonts w:hint="eastAsia" w:ascii="楷体_GB2312" w:eastAsia="楷体_GB2312"/>
          <w:szCs w:val="21"/>
          <w:highlight w:val="none"/>
          <w:lang w:eastAsia="zh-CN"/>
        </w:rPr>
        <w:t>不特定社会公众（</w:t>
      </w:r>
      <w:r>
        <w:rPr>
          <w:rFonts w:hint="eastAsia" w:ascii="楷体_GB2312" w:eastAsia="楷体_GB2312"/>
          <w:szCs w:val="21"/>
          <w:highlight w:val="none"/>
        </w:rPr>
        <w:t>个人</w:t>
      </w:r>
      <w:r>
        <w:rPr>
          <w:rFonts w:hint="eastAsia" w:ascii="楷体_GB2312" w:eastAsia="楷体_GB2312"/>
          <w:szCs w:val="21"/>
          <w:highlight w:val="none"/>
          <w:lang w:eastAsia="zh-CN"/>
        </w:rPr>
        <w:t>投资者</w:t>
      </w:r>
      <w:r>
        <w:rPr>
          <w:rFonts w:hint="eastAsia" w:ascii="楷体_GB2312" w:eastAsia="楷体_GB2312"/>
          <w:szCs w:val="21"/>
          <w:highlight w:val="none"/>
        </w:rPr>
        <w:t>和机构投资者</w:t>
      </w:r>
      <w:r>
        <w:rPr>
          <w:rFonts w:hint="eastAsia" w:ascii="楷体_GB2312" w:eastAsia="楷体_GB2312"/>
          <w:szCs w:val="21"/>
          <w:highlight w:val="none"/>
          <w:lang w:eastAsia="zh-CN"/>
        </w:rPr>
        <w:t>）</w:t>
      </w:r>
      <w:r>
        <w:rPr>
          <w:rFonts w:hint="eastAsia" w:ascii="楷体_GB2312" w:eastAsia="楷体_GB2312"/>
          <w:szCs w:val="21"/>
          <w:highlight w:val="none"/>
        </w:rPr>
        <w:t>发售。</w:t>
      </w:r>
    </w:p>
    <w:p>
      <w:pPr>
        <w:spacing w:line="360" w:lineRule="exact"/>
        <w:ind w:firstLine="422" w:firstLineChars="201"/>
        <w:rPr>
          <w:rFonts w:ascii="楷体_GB2312" w:eastAsia="楷体_GB2312"/>
          <w:szCs w:val="21"/>
          <w:highlight w:val="none"/>
        </w:rPr>
      </w:pPr>
      <w:r>
        <w:rPr>
          <w:rFonts w:hint="eastAsia" w:ascii="楷体_GB2312" w:eastAsia="楷体_GB2312"/>
          <w:szCs w:val="21"/>
          <w:highlight w:val="none"/>
        </w:rPr>
        <w:t>（二）如投资者对本理财计划有任何异议或意见，请联系张家港农村商业银行的理财经理或反馈张家港农村商业银行各营业网点，也可致电张家港农村商业银行投资者服务热线（0512-96065）。</w:t>
      </w:r>
    </w:p>
    <w:p>
      <w:pPr>
        <w:spacing w:line="360" w:lineRule="exact"/>
        <w:ind w:firstLine="422" w:firstLineChars="201"/>
        <w:rPr>
          <w:rFonts w:ascii="楷体_GB2312" w:eastAsia="楷体_GB2312"/>
          <w:szCs w:val="21"/>
          <w:highlight w:val="none"/>
        </w:rPr>
      </w:pPr>
    </w:p>
    <w:p>
      <w:pPr>
        <w:numPr>
          <w:ilvl w:val="255"/>
          <w:numId w:val="0"/>
        </w:numPr>
        <w:spacing w:line="360" w:lineRule="exact"/>
        <w:ind w:firstLine="565" w:firstLineChars="201"/>
        <w:rPr>
          <w:rFonts w:ascii="楷体_GB2312" w:eastAsia="楷体_GB2312"/>
          <w:b/>
          <w:bCs/>
          <w:sz w:val="28"/>
          <w:szCs w:val="28"/>
          <w:highlight w:val="none"/>
        </w:rPr>
      </w:pPr>
      <w:r>
        <w:rPr>
          <w:rFonts w:hint="eastAsia" w:ascii="楷体_GB2312" w:eastAsia="楷体_GB2312"/>
          <w:b/>
          <w:bCs/>
          <w:sz w:val="28"/>
          <w:szCs w:val="28"/>
          <w:highlight w:val="none"/>
        </w:rPr>
        <w:t>十</w:t>
      </w:r>
      <w:r>
        <w:rPr>
          <w:rFonts w:hint="eastAsia" w:ascii="楷体_GB2312" w:eastAsia="楷体_GB2312"/>
          <w:b/>
          <w:bCs/>
          <w:sz w:val="28"/>
          <w:szCs w:val="28"/>
          <w:highlight w:val="none"/>
          <w:lang w:eastAsia="zh-CN"/>
        </w:rPr>
        <w:t>一</w:t>
      </w:r>
      <w:r>
        <w:rPr>
          <w:rFonts w:hint="eastAsia" w:ascii="楷体_GB2312" w:eastAsia="楷体_GB2312"/>
          <w:b/>
          <w:bCs/>
          <w:sz w:val="28"/>
          <w:szCs w:val="28"/>
          <w:highlight w:val="none"/>
        </w:rPr>
        <w:t>、免责条款</w:t>
      </w:r>
    </w:p>
    <w:p>
      <w:pPr>
        <w:spacing w:line="360" w:lineRule="exact"/>
        <w:ind w:firstLine="422" w:firstLineChars="201"/>
        <w:rPr>
          <w:rFonts w:ascii="楷体_GB2312" w:eastAsia="楷体_GB2312"/>
          <w:szCs w:val="21"/>
          <w:highlight w:val="none"/>
        </w:rPr>
      </w:pPr>
      <w:r>
        <w:rPr>
          <w:rFonts w:hint="eastAsia" w:ascii="楷体_GB2312" w:eastAsia="楷体_GB2312"/>
          <w:szCs w:val="21"/>
          <w:highlight w:val="none"/>
        </w:rPr>
        <w:t xml:space="preserve">（一）投资者所能获得的最终收益以所投资财产最终清算的投资者可得收益为准。 </w:t>
      </w:r>
    </w:p>
    <w:p>
      <w:pPr>
        <w:spacing w:line="360" w:lineRule="exact"/>
        <w:ind w:firstLine="422" w:firstLineChars="201"/>
        <w:rPr>
          <w:rFonts w:ascii="楷体_GB2312" w:eastAsia="楷体_GB2312"/>
          <w:szCs w:val="21"/>
          <w:highlight w:val="none"/>
        </w:rPr>
      </w:pPr>
      <w:r>
        <w:rPr>
          <w:rFonts w:hint="eastAsia" w:ascii="楷体_GB2312" w:eastAsia="楷体_GB2312"/>
          <w:szCs w:val="21"/>
          <w:highlight w:val="none"/>
        </w:rPr>
        <w:t xml:space="preserve">（二）本理财计划面临的风险包括信用风险、市场风险、流动性风险、提前终止风险、延期清算风险等，将可能导致投资者收益蒙受部分或全部损失。由此产生的理财本金及收益损失的风险由投资者自行承担，张家港农村商业银行不承担任何理财收益相关的保证责任。 </w:t>
      </w:r>
    </w:p>
    <w:p>
      <w:pPr>
        <w:spacing w:line="360" w:lineRule="exact"/>
        <w:ind w:firstLine="422" w:firstLineChars="201"/>
        <w:rPr>
          <w:rFonts w:ascii="楷体_GB2312" w:eastAsia="楷体_GB2312"/>
          <w:szCs w:val="21"/>
          <w:highlight w:val="none"/>
        </w:rPr>
      </w:pPr>
      <w:r>
        <w:rPr>
          <w:rFonts w:hint="eastAsia" w:ascii="楷体_GB2312" w:eastAsia="楷体_GB2312"/>
          <w:szCs w:val="21"/>
          <w:highlight w:val="none"/>
        </w:rPr>
        <w:t xml:space="preserve">（三）张家港农村商业银行将恪守勤勉尽责的原则，合理配置资产组合，为投资者提供专业化的理财服务。但本产品为净值型理财产品，业绩比较基准不等于实际收益率，银行不保证客户本金和收益，银行发行本理财计划不代表对本产品所投资资产的发行人或融资主体按约定履约的可能性做出任何承诺或保证。 </w:t>
      </w:r>
    </w:p>
    <w:p>
      <w:pPr>
        <w:spacing w:line="360" w:lineRule="exact"/>
        <w:ind w:firstLine="422" w:firstLineChars="201"/>
        <w:rPr>
          <w:highlight w:val="none"/>
        </w:rPr>
      </w:pPr>
    </w:p>
    <w:p>
      <w:pPr>
        <w:numPr>
          <w:ilvl w:val="255"/>
          <w:numId w:val="0"/>
        </w:numPr>
        <w:spacing w:line="360" w:lineRule="exact"/>
        <w:ind w:firstLine="565" w:firstLineChars="201"/>
        <w:rPr>
          <w:rFonts w:ascii="楷体_GB2312" w:eastAsia="楷体_GB2312"/>
          <w:b/>
          <w:bCs/>
          <w:sz w:val="28"/>
          <w:szCs w:val="28"/>
          <w:highlight w:val="none"/>
        </w:rPr>
      </w:pPr>
      <w:r>
        <w:rPr>
          <w:rFonts w:hint="eastAsia" w:ascii="楷体_GB2312" w:eastAsia="楷体_GB2312"/>
          <w:b/>
          <w:bCs/>
          <w:sz w:val="28"/>
          <w:szCs w:val="28"/>
          <w:highlight w:val="none"/>
        </w:rPr>
        <w:t>十</w:t>
      </w:r>
      <w:r>
        <w:rPr>
          <w:rFonts w:hint="eastAsia" w:ascii="楷体_GB2312" w:eastAsia="楷体_GB2312"/>
          <w:b/>
          <w:bCs/>
          <w:sz w:val="28"/>
          <w:szCs w:val="28"/>
          <w:highlight w:val="none"/>
          <w:lang w:eastAsia="zh-CN"/>
        </w:rPr>
        <w:t>二</w:t>
      </w:r>
      <w:r>
        <w:rPr>
          <w:rFonts w:hint="eastAsia" w:ascii="楷体_GB2312" w:eastAsia="楷体_GB2312"/>
          <w:b/>
          <w:bCs/>
          <w:sz w:val="28"/>
          <w:szCs w:val="28"/>
          <w:highlight w:val="none"/>
        </w:rPr>
        <w:t>、特别提示：</w:t>
      </w:r>
    </w:p>
    <w:p>
      <w:pPr>
        <w:spacing w:line="360" w:lineRule="exact"/>
        <w:ind w:firstLine="422" w:firstLineChars="201"/>
        <w:rPr>
          <w:rFonts w:ascii="楷体_GB2312" w:eastAsia="楷体_GB2312"/>
          <w:szCs w:val="21"/>
          <w:highlight w:val="none"/>
        </w:rPr>
      </w:pPr>
      <w:r>
        <w:rPr>
          <w:rFonts w:hint="eastAsia" w:ascii="楷体_GB2312" w:eastAsia="楷体_GB2312"/>
          <w:szCs w:val="21"/>
          <w:highlight w:val="none"/>
        </w:rPr>
        <w:t>（一）本说明书及风险揭示书所述客户等级、风险等级、适合投资者类型和风险承受能力评级等均为理财行根据其内部评定标准自行确定，仅供投资者参考；但是投资者风险承受能力评级不符合适合客户类型及风险匹配原则要求的，根据中国银监会《商业银行理财产品销售管理办法》及其他相关要求，该投资者将不能认购本产品。</w:t>
      </w:r>
    </w:p>
    <w:p>
      <w:pPr>
        <w:spacing w:line="360" w:lineRule="exact"/>
        <w:ind w:firstLine="422" w:firstLineChars="201"/>
        <w:rPr>
          <w:rFonts w:ascii="楷体_GB2312" w:eastAsia="楷体_GB2312"/>
          <w:szCs w:val="21"/>
          <w:highlight w:val="none"/>
        </w:rPr>
      </w:pPr>
      <w:r>
        <w:rPr>
          <w:rFonts w:hint="eastAsia" w:ascii="楷体_GB2312" w:eastAsia="楷体_GB2312"/>
          <w:szCs w:val="21"/>
          <w:highlight w:val="none"/>
        </w:rPr>
        <w:t>（二）请投资者根据自己的风险承受能力购买适合的理财产品，并接受理财行定期或不定期进行的风险承受能力持续评估。</w:t>
      </w:r>
    </w:p>
    <w:p>
      <w:pPr>
        <w:spacing w:line="360" w:lineRule="exact"/>
        <w:ind w:firstLine="422" w:firstLineChars="201"/>
        <w:rPr>
          <w:rFonts w:ascii="楷体_GB2312" w:eastAsia="楷体_GB2312"/>
          <w:szCs w:val="21"/>
          <w:highlight w:val="none"/>
        </w:rPr>
      </w:pPr>
      <w:r>
        <w:rPr>
          <w:rFonts w:hint="eastAsia" w:ascii="楷体_GB2312" w:eastAsia="楷体_GB2312"/>
          <w:szCs w:val="21"/>
          <w:highlight w:val="none"/>
        </w:rPr>
        <w:t>（三）本说明书所述产品存续期受提前终止等相关条款和内容的约束，且理财行有权自行确定本产品的募集规模、募集区域、募集范围、存续规模、申购/赎回开放期、资金清算日等相关产品要素，并有权根据实际情况自行进行调整。</w:t>
      </w:r>
    </w:p>
    <w:p>
      <w:pPr>
        <w:spacing w:line="360" w:lineRule="exact"/>
        <w:ind w:firstLine="422" w:firstLineChars="201"/>
        <w:rPr>
          <w:rFonts w:ascii="楷体_GB2312" w:eastAsia="楷体_GB2312"/>
          <w:szCs w:val="21"/>
          <w:highlight w:val="none"/>
        </w:rPr>
      </w:pPr>
      <w:r>
        <w:rPr>
          <w:rFonts w:hint="eastAsia" w:ascii="楷体_GB2312" w:eastAsia="楷体_GB2312"/>
          <w:szCs w:val="21"/>
          <w:highlight w:val="none"/>
        </w:rPr>
        <w:t>（四）投资者在购买本期理财产品前应仔细阅读产品说明书、风险揭示书、理财客户权益须知、理财产品合约等销售文件，特别是字体加粗提示条款，注意投资风险，了解本产品的具体情况和投资风险与收益状况，如有任何疑问即应向银行或其他权威机构进行咨询及寻求解释，基于自身的独立判断进行投资决策。</w:t>
      </w:r>
    </w:p>
    <w:p>
      <w:pPr>
        <w:spacing w:line="360" w:lineRule="exact"/>
        <w:ind w:firstLine="422" w:firstLineChars="201"/>
        <w:rPr>
          <w:rFonts w:ascii="楷体_GB2312" w:eastAsia="楷体_GB2312"/>
          <w:szCs w:val="21"/>
          <w:highlight w:val="none"/>
        </w:rPr>
      </w:pPr>
      <w:r>
        <w:rPr>
          <w:rFonts w:hint="eastAsia" w:ascii="楷体_GB2312" w:eastAsia="楷体_GB2312"/>
          <w:szCs w:val="21"/>
          <w:highlight w:val="none"/>
        </w:rPr>
        <w:t>（五）理财产品到期时，若投资者未办理赎回手续，则银行对投资者持有本理财产品进行强制赎回，赎回款项=确认赎回份额*产品到期确认日理财产品净值（已扣除相关费用）。（赎回款项保留两位小数）。</w:t>
      </w:r>
    </w:p>
    <w:p>
      <w:pPr>
        <w:spacing w:line="360" w:lineRule="exact"/>
        <w:ind w:firstLine="422" w:firstLineChars="201"/>
        <w:rPr>
          <w:rFonts w:ascii="楷体_GB2312" w:eastAsia="楷体_GB2312"/>
          <w:szCs w:val="21"/>
          <w:highlight w:val="none"/>
        </w:rPr>
      </w:pPr>
      <w:r>
        <w:rPr>
          <w:rFonts w:hint="eastAsia" w:ascii="楷体_GB2312" w:eastAsia="楷体_GB2312"/>
          <w:szCs w:val="21"/>
          <w:highlight w:val="none"/>
        </w:rPr>
        <w:t>（六）理财计划到期日至投资者资金到账日之间不计利息和投资收益。</w:t>
      </w:r>
    </w:p>
    <w:p>
      <w:pPr>
        <w:spacing w:line="360" w:lineRule="exact"/>
        <w:ind w:firstLine="422" w:firstLineChars="201"/>
        <w:rPr>
          <w:rFonts w:hint="eastAsia" w:ascii="楷体_GB2312" w:eastAsia="楷体_GB2312"/>
          <w:szCs w:val="21"/>
          <w:highlight w:val="none"/>
        </w:rPr>
      </w:pPr>
      <w:r>
        <w:rPr>
          <w:rFonts w:hint="eastAsia" w:ascii="楷体_GB2312" w:eastAsia="楷体_GB2312"/>
          <w:szCs w:val="21"/>
          <w:highlight w:val="none"/>
        </w:rPr>
        <w:t>（七）最不利的投资情形下，导致投资者损失投资本金和理财收益。</w:t>
      </w:r>
    </w:p>
    <w:p>
      <w:pPr>
        <w:spacing w:line="360" w:lineRule="exact"/>
        <w:ind w:firstLine="422" w:firstLineChars="201"/>
        <w:rPr>
          <w:rFonts w:hint="eastAsia" w:ascii="楷体_GB2312" w:eastAsia="楷体_GB2312"/>
          <w:szCs w:val="21"/>
          <w:highlight w:val="none"/>
        </w:rPr>
      </w:pPr>
      <w:r>
        <w:rPr>
          <w:rFonts w:hint="eastAsia" w:ascii="楷体_GB2312" w:eastAsia="楷体_GB2312"/>
          <w:szCs w:val="21"/>
          <w:highlight w:val="none"/>
          <w:lang w:val="en-US" w:eastAsia="zh-CN"/>
        </w:rPr>
        <w:t>（八）甲、乙双方对本协议及其条款负有保密义务，除法律法规、监管部门另有规定外，未经一方书面认可，另一方不得向任何组织、个人提供或泄漏与对方有关的资料和信息。</w:t>
      </w:r>
    </w:p>
    <w:p>
      <w:pPr>
        <w:spacing w:line="360" w:lineRule="exact"/>
        <w:ind w:firstLine="422" w:firstLineChars="201"/>
        <w:rPr>
          <w:rFonts w:ascii="楷体_GB2312" w:eastAsia="楷体_GB2312"/>
          <w:szCs w:val="21"/>
          <w:highlight w:val="none"/>
        </w:rPr>
      </w:pPr>
    </w:p>
    <w:tbl>
      <w:tblPr>
        <w:tblStyle w:val="7"/>
        <w:tblW w:w="10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2"/>
        <w:gridCol w:w="6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10375" w:type="dxa"/>
            <w:gridSpan w:val="2"/>
            <w:vAlign w:val="center"/>
          </w:tcPr>
          <w:p>
            <w:pPr>
              <w:spacing w:line="360" w:lineRule="exact"/>
              <w:rPr>
                <w:rFonts w:ascii="楷体_GB2312" w:eastAsia="楷体_GB2312"/>
                <w:b/>
                <w:bCs/>
                <w:szCs w:val="21"/>
                <w:highlight w:val="none"/>
              </w:rPr>
            </w:pPr>
            <w:r>
              <w:rPr>
                <w:rFonts w:hint="eastAsia" w:ascii="楷体_GB2312" w:eastAsia="楷体_GB2312"/>
                <w:b/>
                <w:bCs/>
                <w:szCs w:val="21"/>
                <w:highlight w:val="none"/>
              </w:rPr>
              <w:t>客户确认：客户已阅读本说明书及权益须知，清楚了解并知悉本产品的基本情况尤其是募集资金投资、理财收益、产品费用及特别提示等内容，已不存在任何疑问或异议。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4252" w:type="dxa"/>
            <w:vAlign w:val="center"/>
          </w:tcPr>
          <w:p>
            <w:pPr>
              <w:spacing w:line="360" w:lineRule="exact"/>
              <w:ind w:firstLine="424" w:firstLineChars="201"/>
              <w:jc w:val="left"/>
              <w:rPr>
                <w:rFonts w:ascii="楷体_GB2312" w:eastAsia="楷体_GB2312"/>
                <w:b/>
                <w:bCs/>
                <w:szCs w:val="21"/>
                <w:highlight w:val="none"/>
              </w:rPr>
            </w:pPr>
          </w:p>
          <w:p>
            <w:pPr>
              <w:spacing w:line="360" w:lineRule="exact"/>
              <w:jc w:val="left"/>
              <w:rPr>
                <w:rFonts w:ascii="楷体_GB2312" w:eastAsia="楷体_GB2312"/>
                <w:b/>
                <w:bCs/>
                <w:szCs w:val="21"/>
                <w:highlight w:val="none"/>
              </w:rPr>
            </w:pPr>
            <w:r>
              <w:rPr>
                <w:rFonts w:hint="eastAsia" w:ascii="楷体_GB2312" w:eastAsia="楷体_GB2312"/>
                <w:b/>
                <w:bCs/>
                <w:szCs w:val="21"/>
                <w:highlight w:val="none"/>
              </w:rPr>
              <w:t>销售人员签字：</w:t>
            </w:r>
          </w:p>
          <w:p>
            <w:pPr>
              <w:spacing w:line="360" w:lineRule="exact"/>
              <w:ind w:firstLine="424" w:firstLineChars="201"/>
              <w:jc w:val="left"/>
              <w:rPr>
                <w:rFonts w:ascii="楷体_GB2312" w:eastAsia="楷体_GB2312"/>
                <w:b/>
                <w:bCs/>
                <w:szCs w:val="21"/>
                <w:highlight w:val="none"/>
              </w:rPr>
            </w:pPr>
          </w:p>
        </w:tc>
        <w:tc>
          <w:tcPr>
            <w:tcW w:w="6123" w:type="dxa"/>
            <w:vAlign w:val="center"/>
          </w:tcPr>
          <w:p>
            <w:pPr>
              <w:spacing w:line="360" w:lineRule="exact"/>
              <w:ind w:firstLine="424" w:firstLineChars="201"/>
              <w:jc w:val="left"/>
              <w:rPr>
                <w:rFonts w:ascii="楷体_GB2312" w:eastAsia="楷体_GB2312"/>
                <w:b/>
                <w:bCs/>
                <w:szCs w:val="21"/>
                <w:highlight w:val="none"/>
              </w:rPr>
            </w:pPr>
          </w:p>
          <w:p>
            <w:pPr>
              <w:spacing w:line="360" w:lineRule="exact"/>
              <w:jc w:val="left"/>
              <w:rPr>
                <w:rFonts w:ascii="楷体_GB2312" w:eastAsia="楷体_GB2312"/>
                <w:b/>
                <w:bCs/>
                <w:szCs w:val="21"/>
                <w:highlight w:val="none"/>
              </w:rPr>
            </w:pPr>
            <w:r>
              <w:rPr>
                <w:rFonts w:hint="eastAsia" w:ascii="楷体_GB2312" w:eastAsia="楷体_GB2312"/>
                <w:b/>
                <w:bCs/>
                <w:szCs w:val="21"/>
                <w:highlight w:val="none"/>
              </w:rPr>
              <w:t>客户签字：</w:t>
            </w:r>
          </w:p>
          <w:p>
            <w:pPr>
              <w:spacing w:line="360" w:lineRule="exact"/>
              <w:ind w:firstLine="424" w:firstLineChars="201"/>
              <w:jc w:val="left"/>
              <w:rPr>
                <w:rFonts w:ascii="楷体_GB2312" w:eastAsia="楷体_GB2312"/>
                <w:b/>
                <w:bCs/>
                <w:szCs w:val="21"/>
                <w:highlight w:val="none"/>
              </w:rPr>
            </w:pPr>
          </w:p>
        </w:tc>
      </w:tr>
    </w:tbl>
    <w:p>
      <w:pPr>
        <w:ind w:firstLine="420" w:firstLineChars="200"/>
        <w:rPr>
          <w:highlight w:val="none"/>
        </w:rPr>
      </w:pPr>
    </w:p>
    <w:p>
      <w:pPr>
        <w:autoSpaceDE w:val="0"/>
        <w:autoSpaceDN w:val="0"/>
        <w:adjustRightInd w:val="0"/>
        <w:spacing w:before="3" w:line="284" w:lineRule="auto"/>
        <w:ind w:right="494"/>
        <w:rPr>
          <w:rFonts w:ascii="微软雅黑" w:hAnsi="微软雅黑" w:eastAsia="微软雅黑" w:cs="微软雅黑"/>
          <w:sz w:val="13"/>
          <w:szCs w:val="13"/>
          <w:highlight w:val="none"/>
        </w:rPr>
      </w:pPr>
    </w:p>
    <w:p>
      <w:pPr>
        <w:rPr>
          <w:rFonts w:ascii="微软雅黑" w:hAnsi="微软雅黑" w:eastAsia="微软雅黑" w:cs="微软雅黑"/>
          <w:sz w:val="13"/>
          <w:szCs w:val="13"/>
          <w:highlight w:val="none"/>
        </w:rPr>
      </w:pPr>
    </w:p>
    <w:sectPr>
      <w:headerReference r:id="rId3" w:type="default"/>
      <w:pgSz w:w="11907" w:h="16840"/>
      <w:pgMar w:top="737" w:right="850" w:bottom="170" w:left="850" w:header="533" w:footer="0" w:gutter="0"/>
      <w:pgNumType w:start="1"/>
      <w:cols w:space="425" w:num="1"/>
      <w:docGrid w:linePitch="60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right"/>
      <w:rPr>
        <w:rFonts w:ascii="方正书宋简体" w:eastAsia="方正书宋简体"/>
        <w:i/>
      </w:rPr>
    </w:pPr>
    <w:r>
      <w:rPr>
        <w:rFonts w:hint="eastAsia" w:ascii="方正书宋简体" w:eastAsia="方正书宋简体"/>
        <w:i/>
      </w:rPr>
      <w:t>理财非存款、产品有风险、投资须谨慎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79B703"/>
    <w:multiLevelType w:val="singleLevel"/>
    <w:tmpl w:val="9679B703"/>
    <w:lvl w:ilvl="0" w:tentative="0">
      <w:start w:val="3"/>
      <w:numFmt w:val="decimal"/>
      <w:suff w:val="nothing"/>
      <w:lvlText w:val="%1、"/>
      <w:lvlJc w:val="left"/>
    </w:lvl>
  </w:abstractNum>
  <w:abstractNum w:abstractNumId="1">
    <w:nsid w:val="475B309B"/>
    <w:multiLevelType w:val="singleLevel"/>
    <w:tmpl w:val="475B309B"/>
    <w:lvl w:ilvl="0" w:tentative="0">
      <w:start w:val="2"/>
      <w:numFmt w:val="chineseCounting"/>
      <w:suff w:val="nothing"/>
      <w:lvlText w:val="（%1）"/>
      <w:lvlJc w:val="left"/>
      <w:rPr>
        <w:rFonts w:hint="eastAsia"/>
      </w:rPr>
    </w:lvl>
  </w:abstractNum>
  <w:abstractNum w:abstractNumId="2">
    <w:nsid w:val="659AC0BE"/>
    <w:multiLevelType w:val="singleLevel"/>
    <w:tmpl w:val="659AC0BE"/>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8F72CF"/>
    <w:rsid w:val="00011A45"/>
    <w:rsid w:val="0006466A"/>
    <w:rsid w:val="00160824"/>
    <w:rsid w:val="001971C4"/>
    <w:rsid w:val="002408DD"/>
    <w:rsid w:val="00293328"/>
    <w:rsid w:val="002A7C18"/>
    <w:rsid w:val="00314776"/>
    <w:rsid w:val="003812A7"/>
    <w:rsid w:val="003C134D"/>
    <w:rsid w:val="004A31F1"/>
    <w:rsid w:val="00640C32"/>
    <w:rsid w:val="006530AF"/>
    <w:rsid w:val="00964C20"/>
    <w:rsid w:val="00B24F22"/>
    <w:rsid w:val="00C06470"/>
    <w:rsid w:val="00CF2390"/>
    <w:rsid w:val="00D14D33"/>
    <w:rsid w:val="00D82FED"/>
    <w:rsid w:val="00DE37D9"/>
    <w:rsid w:val="00E3196E"/>
    <w:rsid w:val="00E46BCF"/>
    <w:rsid w:val="00E94163"/>
    <w:rsid w:val="00EE5485"/>
    <w:rsid w:val="00EE71E7"/>
    <w:rsid w:val="00F60FC0"/>
    <w:rsid w:val="013320B1"/>
    <w:rsid w:val="0134596B"/>
    <w:rsid w:val="018F1875"/>
    <w:rsid w:val="0195258C"/>
    <w:rsid w:val="01B55D93"/>
    <w:rsid w:val="023B2C31"/>
    <w:rsid w:val="02B26EDE"/>
    <w:rsid w:val="02B5769D"/>
    <w:rsid w:val="02E21854"/>
    <w:rsid w:val="031920E7"/>
    <w:rsid w:val="03334CD5"/>
    <w:rsid w:val="03341E67"/>
    <w:rsid w:val="034B05E0"/>
    <w:rsid w:val="03782880"/>
    <w:rsid w:val="038B4443"/>
    <w:rsid w:val="03AB598A"/>
    <w:rsid w:val="04393EE2"/>
    <w:rsid w:val="04D21802"/>
    <w:rsid w:val="04E1746D"/>
    <w:rsid w:val="04E54775"/>
    <w:rsid w:val="050A0920"/>
    <w:rsid w:val="052D0D09"/>
    <w:rsid w:val="052E6B09"/>
    <w:rsid w:val="05674D37"/>
    <w:rsid w:val="05E21AA8"/>
    <w:rsid w:val="061F24F6"/>
    <w:rsid w:val="066B0664"/>
    <w:rsid w:val="0698359C"/>
    <w:rsid w:val="069D5835"/>
    <w:rsid w:val="06C42220"/>
    <w:rsid w:val="07070A71"/>
    <w:rsid w:val="071973CC"/>
    <w:rsid w:val="073431A8"/>
    <w:rsid w:val="077862EC"/>
    <w:rsid w:val="07AD7CB4"/>
    <w:rsid w:val="07E64A89"/>
    <w:rsid w:val="07F93B26"/>
    <w:rsid w:val="08311ADF"/>
    <w:rsid w:val="088C7B3F"/>
    <w:rsid w:val="089B2068"/>
    <w:rsid w:val="08E0705D"/>
    <w:rsid w:val="08E63297"/>
    <w:rsid w:val="08F872EE"/>
    <w:rsid w:val="09064C57"/>
    <w:rsid w:val="09362FED"/>
    <w:rsid w:val="093B7EA6"/>
    <w:rsid w:val="093F048B"/>
    <w:rsid w:val="0971354A"/>
    <w:rsid w:val="09E3277C"/>
    <w:rsid w:val="09E55C6C"/>
    <w:rsid w:val="0A0509BB"/>
    <w:rsid w:val="0A2B436C"/>
    <w:rsid w:val="0A462B00"/>
    <w:rsid w:val="0A687212"/>
    <w:rsid w:val="0AFC17CE"/>
    <w:rsid w:val="0B1C4661"/>
    <w:rsid w:val="0B1E358C"/>
    <w:rsid w:val="0B39460F"/>
    <w:rsid w:val="0B44583A"/>
    <w:rsid w:val="0B5807A1"/>
    <w:rsid w:val="0B7E72E8"/>
    <w:rsid w:val="0BEA592B"/>
    <w:rsid w:val="0C0E2A68"/>
    <w:rsid w:val="0C372551"/>
    <w:rsid w:val="0C4C4D2F"/>
    <w:rsid w:val="0C757E41"/>
    <w:rsid w:val="0C81302C"/>
    <w:rsid w:val="0C9571CC"/>
    <w:rsid w:val="0CB2785E"/>
    <w:rsid w:val="0CDF4A9B"/>
    <w:rsid w:val="0D0274B6"/>
    <w:rsid w:val="0D205212"/>
    <w:rsid w:val="0D4C797F"/>
    <w:rsid w:val="0D8B466A"/>
    <w:rsid w:val="0D8B6A50"/>
    <w:rsid w:val="0D923883"/>
    <w:rsid w:val="0DB66BBD"/>
    <w:rsid w:val="0EBE616E"/>
    <w:rsid w:val="0ED33003"/>
    <w:rsid w:val="0EF56D13"/>
    <w:rsid w:val="0EF74CD1"/>
    <w:rsid w:val="0F7757A2"/>
    <w:rsid w:val="0F946602"/>
    <w:rsid w:val="0FBA0CEB"/>
    <w:rsid w:val="0FC12DB0"/>
    <w:rsid w:val="0FCA2B82"/>
    <w:rsid w:val="0FEA443A"/>
    <w:rsid w:val="10134BB7"/>
    <w:rsid w:val="10144855"/>
    <w:rsid w:val="103A6BC4"/>
    <w:rsid w:val="105C0BFC"/>
    <w:rsid w:val="10A62A76"/>
    <w:rsid w:val="113A4AD9"/>
    <w:rsid w:val="11A0754F"/>
    <w:rsid w:val="11EC694D"/>
    <w:rsid w:val="12282F26"/>
    <w:rsid w:val="12635DBE"/>
    <w:rsid w:val="12794BC8"/>
    <w:rsid w:val="12B51B0C"/>
    <w:rsid w:val="12DE6D17"/>
    <w:rsid w:val="1312076B"/>
    <w:rsid w:val="132123FD"/>
    <w:rsid w:val="13252917"/>
    <w:rsid w:val="133907BB"/>
    <w:rsid w:val="133E0B9B"/>
    <w:rsid w:val="14493366"/>
    <w:rsid w:val="14AA4DC8"/>
    <w:rsid w:val="150057D1"/>
    <w:rsid w:val="15026C08"/>
    <w:rsid w:val="15322109"/>
    <w:rsid w:val="154E2459"/>
    <w:rsid w:val="1557209F"/>
    <w:rsid w:val="15746C1C"/>
    <w:rsid w:val="15C06B12"/>
    <w:rsid w:val="15C425E7"/>
    <w:rsid w:val="15C93A16"/>
    <w:rsid w:val="160717C4"/>
    <w:rsid w:val="16194C54"/>
    <w:rsid w:val="161B4BA5"/>
    <w:rsid w:val="161C15F0"/>
    <w:rsid w:val="165B27A8"/>
    <w:rsid w:val="1662213F"/>
    <w:rsid w:val="16886F80"/>
    <w:rsid w:val="16CE0435"/>
    <w:rsid w:val="1720770D"/>
    <w:rsid w:val="172330DA"/>
    <w:rsid w:val="176E7B5E"/>
    <w:rsid w:val="179940B2"/>
    <w:rsid w:val="17AB09F0"/>
    <w:rsid w:val="17F10833"/>
    <w:rsid w:val="180405DB"/>
    <w:rsid w:val="180410C4"/>
    <w:rsid w:val="18376166"/>
    <w:rsid w:val="185A4A2C"/>
    <w:rsid w:val="188A07A4"/>
    <w:rsid w:val="18A8098F"/>
    <w:rsid w:val="18F22E1C"/>
    <w:rsid w:val="1937600D"/>
    <w:rsid w:val="19823E87"/>
    <w:rsid w:val="19F77149"/>
    <w:rsid w:val="1A165415"/>
    <w:rsid w:val="1A41356C"/>
    <w:rsid w:val="1A63679B"/>
    <w:rsid w:val="1AAE3C94"/>
    <w:rsid w:val="1AF40ECF"/>
    <w:rsid w:val="1B351307"/>
    <w:rsid w:val="1B3A131A"/>
    <w:rsid w:val="1B7A1859"/>
    <w:rsid w:val="1BEC4CC7"/>
    <w:rsid w:val="1BFA5241"/>
    <w:rsid w:val="1C1C7360"/>
    <w:rsid w:val="1CC920AB"/>
    <w:rsid w:val="1CE32B91"/>
    <w:rsid w:val="1D104C01"/>
    <w:rsid w:val="1D28767F"/>
    <w:rsid w:val="1D2A733F"/>
    <w:rsid w:val="1D5A3907"/>
    <w:rsid w:val="1D6A542F"/>
    <w:rsid w:val="1DA55A52"/>
    <w:rsid w:val="1DE53FC1"/>
    <w:rsid w:val="1E005BAA"/>
    <w:rsid w:val="1E4E7C64"/>
    <w:rsid w:val="1E8045DB"/>
    <w:rsid w:val="1EA71711"/>
    <w:rsid w:val="1EEB44C2"/>
    <w:rsid w:val="1F780D0C"/>
    <w:rsid w:val="1F9556F2"/>
    <w:rsid w:val="1F977FCA"/>
    <w:rsid w:val="1FC544D1"/>
    <w:rsid w:val="201477BD"/>
    <w:rsid w:val="208F4B5D"/>
    <w:rsid w:val="209B0F8A"/>
    <w:rsid w:val="20AD7F5A"/>
    <w:rsid w:val="20E07CB4"/>
    <w:rsid w:val="21387AA4"/>
    <w:rsid w:val="213F3859"/>
    <w:rsid w:val="214A7571"/>
    <w:rsid w:val="21AE5AC4"/>
    <w:rsid w:val="21B34AF1"/>
    <w:rsid w:val="21B71F33"/>
    <w:rsid w:val="21D05B33"/>
    <w:rsid w:val="22350C84"/>
    <w:rsid w:val="227736DF"/>
    <w:rsid w:val="228E0647"/>
    <w:rsid w:val="229524A6"/>
    <w:rsid w:val="231B005B"/>
    <w:rsid w:val="2322589B"/>
    <w:rsid w:val="232D17F1"/>
    <w:rsid w:val="23370BAF"/>
    <w:rsid w:val="23C253B2"/>
    <w:rsid w:val="243501B8"/>
    <w:rsid w:val="243D6EB2"/>
    <w:rsid w:val="244E1796"/>
    <w:rsid w:val="24854AE7"/>
    <w:rsid w:val="24985754"/>
    <w:rsid w:val="2563096F"/>
    <w:rsid w:val="257D7007"/>
    <w:rsid w:val="262B7E17"/>
    <w:rsid w:val="266A2CA0"/>
    <w:rsid w:val="26A31489"/>
    <w:rsid w:val="26BB2699"/>
    <w:rsid w:val="26E263C1"/>
    <w:rsid w:val="2755620B"/>
    <w:rsid w:val="279808E3"/>
    <w:rsid w:val="27BC2074"/>
    <w:rsid w:val="27BF66F4"/>
    <w:rsid w:val="27F83A34"/>
    <w:rsid w:val="2802657A"/>
    <w:rsid w:val="28313438"/>
    <w:rsid w:val="287E654D"/>
    <w:rsid w:val="2893069F"/>
    <w:rsid w:val="28D66EC8"/>
    <w:rsid w:val="28DD1C71"/>
    <w:rsid w:val="295E0321"/>
    <w:rsid w:val="296A4842"/>
    <w:rsid w:val="29AA21DB"/>
    <w:rsid w:val="29B52010"/>
    <w:rsid w:val="29C75FC0"/>
    <w:rsid w:val="2A0C362F"/>
    <w:rsid w:val="2A201C7D"/>
    <w:rsid w:val="2A486FBC"/>
    <w:rsid w:val="2A8F72CF"/>
    <w:rsid w:val="2AA16C38"/>
    <w:rsid w:val="2AC74774"/>
    <w:rsid w:val="2AFE099D"/>
    <w:rsid w:val="2B220AFB"/>
    <w:rsid w:val="2B5D4892"/>
    <w:rsid w:val="2B771C33"/>
    <w:rsid w:val="2B930B2B"/>
    <w:rsid w:val="2BB66686"/>
    <w:rsid w:val="2BF053D1"/>
    <w:rsid w:val="2BF85E07"/>
    <w:rsid w:val="2C093ABC"/>
    <w:rsid w:val="2C3961C3"/>
    <w:rsid w:val="2C695BA0"/>
    <w:rsid w:val="2C9839B4"/>
    <w:rsid w:val="2CA53AAF"/>
    <w:rsid w:val="2CDB0CE5"/>
    <w:rsid w:val="2CDD4FFD"/>
    <w:rsid w:val="2D24548A"/>
    <w:rsid w:val="2D334EB3"/>
    <w:rsid w:val="2D390658"/>
    <w:rsid w:val="2D512041"/>
    <w:rsid w:val="2D9646FA"/>
    <w:rsid w:val="2E4465F5"/>
    <w:rsid w:val="2E47103E"/>
    <w:rsid w:val="2E4A7E82"/>
    <w:rsid w:val="2E953004"/>
    <w:rsid w:val="2EED13E6"/>
    <w:rsid w:val="2EFD2520"/>
    <w:rsid w:val="2F0B2270"/>
    <w:rsid w:val="2F511631"/>
    <w:rsid w:val="2F8D7870"/>
    <w:rsid w:val="2FA95206"/>
    <w:rsid w:val="2FB849D9"/>
    <w:rsid w:val="2FEB1D09"/>
    <w:rsid w:val="3004108F"/>
    <w:rsid w:val="30C21D62"/>
    <w:rsid w:val="30E06D63"/>
    <w:rsid w:val="310A2527"/>
    <w:rsid w:val="310E69C4"/>
    <w:rsid w:val="312C3284"/>
    <w:rsid w:val="317C34AC"/>
    <w:rsid w:val="3182785A"/>
    <w:rsid w:val="31DA6A0B"/>
    <w:rsid w:val="31E53620"/>
    <w:rsid w:val="31F675A6"/>
    <w:rsid w:val="31FF1D81"/>
    <w:rsid w:val="321703D2"/>
    <w:rsid w:val="322C04D3"/>
    <w:rsid w:val="323B323A"/>
    <w:rsid w:val="337A7F75"/>
    <w:rsid w:val="33EB77D2"/>
    <w:rsid w:val="340E6ACA"/>
    <w:rsid w:val="34116FE5"/>
    <w:rsid w:val="341D39D4"/>
    <w:rsid w:val="3442528D"/>
    <w:rsid w:val="344B63CB"/>
    <w:rsid w:val="345A0A7D"/>
    <w:rsid w:val="346262F4"/>
    <w:rsid w:val="347F2714"/>
    <w:rsid w:val="34B70019"/>
    <w:rsid w:val="34FB2790"/>
    <w:rsid w:val="3518051D"/>
    <w:rsid w:val="352238FA"/>
    <w:rsid w:val="35286581"/>
    <w:rsid w:val="35486A01"/>
    <w:rsid w:val="354907E6"/>
    <w:rsid w:val="355010D2"/>
    <w:rsid w:val="358156D2"/>
    <w:rsid w:val="358478D8"/>
    <w:rsid w:val="35B11940"/>
    <w:rsid w:val="35B71D5E"/>
    <w:rsid w:val="35CD0036"/>
    <w:rsid w:val="35CF5E78"/>
    <w:rsid w:val="35FD608A"/>
    <w:rsid w:val="36B11A09"/>
    <w:rsid w:val="37251CB8"/>
    <w:rsid w:val="377B2937"/>
    <w:rsid w:val="378E2659"/>
    <w:rsid w:val="37A91D96"/>
    <w:rsid w:val="37C43A93"/>
    <w:rsid w:val="37E20CA4"/>
    <w:rsid w:val="38032085"/>
    <w:rsid w:val="3807055B"/>
    <w:rsid w:val="382139A7"/>
    <w:rsid w:val="386E3985"/>
    <w:rsid w:val="387257A9"/>
    <w:rsid w:val="38980FD3"/>
    <w:rsid w:val="38AF12F4"/>
    <w:rsid w:val="38C35E18"/>
    <w:rsid w:val="38D95357"/>
    <w:rsid w:val="38E26BFB"/>
    <w:rsid w:val="38F4307E"/>
    <w:rsid w:val="397C588E"/>
    <w:rsid w:val="398D0533"/>
    <w:rsid w:val="39D10EF0"/>
    <w:rsid w:val="39D92850"/>
    <w:rsid w:val="39E32A0F"/>
    <w:rsid w:val="3A0F7A4F"/>
    <w:rsid w:val="3A431891"/>
    <w:rsid w:val="3A4D4D4D"/>
    <w:rsid w:val="3AFA02EF"/>
    <w:rsid w:val="3B0A1A81"/>
    <w:rsid w:val="3BDB0C9E"/>
    <w:rsid w:val="3BE41815"/>
    <w:rsid w:val="3C0E1533"/>
    <w:rsid w:val="3C50365F"/>
    <w:rsid w:val="3C652005"/>
    <w:rsid w:val="3C881518"/>
    <w:rsid w:val="3CA1521B"/>
    <w:rsid w:val="3D2A652C"/>
    <w:rsid w:val="3D7959AC"/>
    <w:rsid w:val="3D7B04DC"/>
    <w:rsid w:val="3DCE09FE"/>
    <w:rsid w:val="3DD14EFA"/>
    <w:rsid w:val="3DE12657"/>
    <w:rsid w:val="3E110DBB"/>
    <w:rsid w:val="3E3B0800"/>
    <w:rsid w:val="3E944EE5"/>
    <w:rsid w:val="3EB406DF"/>
    <w:rsid w:val="3EBF70E2"/>
    <w:rsid w:val="3ED96494"/>
    <w:rsid w:val="3F3D2AB3"/>
    <w:rsid w:val="3F54366A"/>
    <w:rsid w:val="3F634923"/>
    <w:rsid w:val="3F6D454F"/>
    <w:rsid w:val="3F797FE8"/>
    <w:rsid w:val="3FA55888"/>
    <w:rsid w:val="3FB85F87"/>
    <w:rsid w:val="400D42A3"/>
    <w:rsid w:val="406F330C"/>
    <w:rsid w:val="40D42894"/>
    <w:rsid w:val="411767D4"/>
    <w:rsid w:val="411E1C06"/>
    <w:rsid w:val="413E0DA3"/>
    <w:rsid w:val="4141061C"/>
    <w:rsid w:val="41E02067"/>
    <w:rsid w:val="41E80BFE"/>
    <w:rsid w:val="41F41CAA"/>
    <w:rsid w:val="423F51B5"/>
    <w:rsid w:val="42412851"/>
    <w:rsid w:val="425C1467"/>
    <w:rsid w:val="42DB4346"/>
    <w:rsid w:val="42DD2D4E"/>
    <w:rsid w:val="42E92203"/>
    <w:rsid w:val="42F12C26"/>
    <w:rsid w:val="431D2EA7"/>
    <w:rsid w:val="43334852"/>
    <w:rsid w:val="43500F91"/>
    <w:rsid w:val="435160A1"/>
    <w:rsid w:val="43624F21"/>
    <w:rsid w:val="438779DB"/>
    <w:rsid w:val="43C67D0C"/>
    <w:rsid w:val="43C84F0C"/>
    <w:rsid w:val="43E32A3A"/>
    <w:rsid w:val="43FF19BB"/>
    <w:rsid w:val="44170F71"/>
    <w:rsid w:val="442B6D2F"/>
    <w:rsid w:val="4499407E"/>
    <w:rsid w:val="44B22870"/>
    <w:rsid w:val="44DD4149"/>
    <w:rsid w:val="44FC50D8"/>
    <w:rsid w:val="454760D2"/>
    <w:rsid w:val="4599646D"/>
    <w:rsid w:val="46005DCF"/>
    <w:rsid w:val="464D45C4"/>
    <w:rsid w:val="466A5369"/>
    <w:rsid w:val="46F7125E"/>
    <w:rsid w:val="470817CD"/>
    <w:rsid w:val="47203B66"/>
    <w:rsid w:val="47431BB1"/>
    <w:rsid w:val="47E82D05"/>
    <w:rsid w:val="47EA243F"/>
    <w:rsid w:val="483D1634"/>
    <w:rsid w:val="48606DDE"/>
    <w:rsid w:val="486B5374"/>
    <w:rsid w:val="48950A49"/>
    <w:rsid w:val="489F491E"/>
    <w:rsid w:val="48A550AE"/>
    <w:rsid w:val="49A041A5"/>
    <w:rsid w:val="49AB69D2"/>
    <w:rsid w:val="49B81942"/>
    <w:rsid w:val="4A5440B6"/>
    <w:rsid w:val="4A947826"/>
    <w:rsid w:val="4A9870D9"/>
    <w:rsid w:val="4AB26A27"/>
    <w:rsid w:val="4ABD2F3D"/>
    <w:rsid w:val="4AF67CE9"/>
    <w:rsid w:val="4AF857EE"/>
    <w:rsid w:val="4B0345B8"/>
    <w:rsid w:val="4B883713"/>
    <w:rsid w:val="4BA258EA"/>
    <w:rsid w:val="4BD1244C"/>
    <w:rsid w:val="4C103957"/>
    <w:rsid w:val="4C824DD1"/>
    <w:rsid w:val="4D872631"/>
    <w:rsid w:val="4DBD5469"/>
    <w:rsid w:val="4DDE690E"/>
    <w:rsid w:val="4DFB7F92"/>
    <w:rsid w:val="4E1C6093"/>
    <w:rsid w:val="4E346174"/>
    <w:rsid w:val="4E743BB8"/>
    <w:rsid w:val="4E7E56F2"/>
    <w:rsid w:val="4EF842E0"/>
    <w:rsid w:val="4EFD6F8B"/>
    <w:rsid w:val="4F182A61"/>
    <w:rsid w:val="4F682EB7"/>
    <w:rsid w:val="4F6A4C8D"/>
    <w:rsid w:val="4F6E3F1A"/>
    <w:rsid w:val="4F734AA8"/>
    <w:rsid w:val="4F7E0F39"/>
    <w:rsid w:val="4FB26E57"/>
    <w:rsid w:val="4FB62D3A"/>
    <w:rsid w:val="4FEF5CC3"/>
    <w:rsid w:val="4FF42BF7"/>
    <w:rsid w:val="500C7622"/>
    <w:rsid w:val="50262FD7"/>
    <w:rsid w:val="50612716"/>
    <w:rsid w:val="50651E73"/>
    <w:rsid w:val="50C118B2"/>
    <w:rsid w:val="50C56388"/>
    <w:rsid w:val="50EF72A3"/>
    <w:rsid w:val="5193163C"/>
    <w:rsid w:val="520836E2"/>
    <w:rsid w:val="520A0FA7"/>
    <w:rsid w:val="523509B0"/>
    <w:rsid w:val="523B3746"/>
    <w:rsid w:val="52AB6B53"/>
    <w:rsid w:val="52C0387F"/>
    <w:rsid w:val="52FD65D2"/>
    <w:rsid w:val="53356E8A"/>
    <w:rsid w:val="53396119"/>
    <w:rsid w:val="53891CD0"/>
    <w:rsid w:val="539130D1"/>
    <w:rsid w:val="53AB1116"/>
    <w:rsid w:val="53F94D4A"/>
    <w:rsid w:val="541212C4"/>
    <w:rsid w:val="541E1EB4"/>
    <w:rsid w:val="542D78E1"/>
    <w:rsid w:val="544232C3"/>
    <w:rsid w:val="545313B3"/>
    <w:rsid w:val="548F6250"/>
    <w:rsid w:val="54B64D97"/>
    <w:rsid w:val="54C917D1"/>
    <w:rsid w:val="54CF3C49"/>
    <w:rsid w:val="556147A6"/>
    <w:rsid w:val="55B56C87"/>
    <w:rsid w:val="55D01A7D"/>
    <w:rsid w:val="55E82256"/>
    <w:rsid w:val="55EC5E46"/>
    <w:rsid w:val="55ED4F3F"/>
    <w:rsid w:val="55F24827"/>
    <w:rsid w:val="56134C00"/>
    <w:rsid w:val="564919F7"/>
    <w:rsid w:val="56B72556"/>
    <w:rsid w:val="56DF4AC6"/>
    <w:rsid w:val="56E66169"/>
    <w:rsid w:val="57233BFA"/>
    <w:rsid w:val="573A6519"/>
    <w:rsid w:val="57472496"/>
    <w:rsid w:val="57662EBD"/>
    <w:rsid w:val="57906E00"/>
    <w:rsid w:val="57B63564"/>
    <w:rsid w:val="57E25681"/>
    <w:rsid w:val="57F01967"/>
    <w:rsid w:val="58047D88"/>
    <w:rsid w:val="581F0B6A"/>
    <w:rsid w:val="583B5DCF"/>
    <w:rsid w:val="583C2F8D"/>
    <w:rsid w:val="58DA5436"/>
    <w:rsid w:val="593457F2"/>
    <w:rsid w:val="599F7229"/>
    <w:rsid w:val="59E64605"/>
    <w:rsid w:val="5A4773D5"/>
    <w:rsid w:val="5A7D3A01"/>
    <w:rsid w:val="5ABD66C4"/>
    <w:rsid w:val="5AD02B16"/>
    <w:rsid w:val="5AD21A76"/>
    <w:rsid w:val="5AD30D07"/>
    <w:rsid w:val="5ADC191A"/>
    <w:rsid w:val="5AE22914"/>
    <w:rsid w:val="5B2A70AA"/>
    <w:rsid w:val="5B5F7C32"/>
    <w:rsid w:val="5BBF25AE"/>
    <w:rsid w:val="5BCD713A"/>
    <w:rsid w:val="5C0B5C25"/>
    <w:rsid w:val="5C154C62"/>
    <w:rsid w:val="5C482853"/>
    <w:rsid w:val="5C6E1EC7"/>
    <w:rsid w:val="5CED0ABA"/>
    <w:rsid w:val="5D5B691C"/>
    <w:rsid w:val="5D92250D"/>
    <w:rsid w:val="5DA224B2"/>
    <w:rsid w:val="5DC078CD"/>
    <w:rsid w:val="5DCF52DD"/>
    <w:rsid w:val="5DD72C6B"/>
    <w:rsid w:val="5DE80D3F"/>
    <w:rsid w:val="5E251CF2"/>
    <w:rsid w:val="5E53587B"/>
    <w:rsid w:val="5E8C3E95"/>
    <w:rsid w:val="5EE024A7"/>
    <w:rsid w:val="5EF137A8"/>
    <w:rsid w:val="5F0518B5"/>
    <w:rsid w:val="5F661632"/>
    <w:rsid w:val="5F730181"/>
    <w:rsid w:val="5FD5494B"/>
    <w:rsid w:val="606F6EA7"/>
    <w:rsid w:val="607B124C"/>
    <w:rsid w:val="607E4E8D"/>
    <w:rsid w:val="60985DC0"/>
    <w:rsid w:val="61560782"/>
    <w:rsid w:val="61661CC8"/>
    <w:rsid w:val="6193536B"/>
    <w:rsid w:val="61951134"/>
    <w:rsid w:val="619A4448"/>
    <w:rsid w:val="62290B29"/>
    <w:rsid w:val="627D2C47"/>
    <w:rsid w:val="629D33A9"/>
    <w:rsid w:val="63493099"/>
    <w:rsid w:val="637F14AF"/>
    <w:rsid w:val="63F33681"/>
    <w:rsid w:val="64104069"/>
    <w:rsid w:val="64436BA7"/>
    <w:rsid w:val="644B47FB"/>
    <w:rsid w:val="646208D5"/>
    <w:rsid w:val="647B22B1"/>
    <w:rsid w:val="64E808DE"/>
    <w:rsid w:val="650241AB"/>
    <w:rsid w:val="650E5287"/>
    <w:rsid w:val="66080B52"/>
    <w:rsid w:val="66404D7F"/>
    <w:rsid w:val="664B0E41"/>
    <w:rsid w:val="66FF1523"/>
    <w:rsid w:val="675F0C12"/>
    <w:rsid w:val="679156BB"/>
    <w:rsid w:val="67AC28BA"/>
    <w:rsid w:val="67B93899"/>
    <w:rsid w:val="67BB60BF"/>
    <w:rsid w:val="67D22156"/>
    <w:rsid w:val="680465E5"/>
    <w:rsid w:val="68C842DA"/>
    <w:rsid w:val="69025277"/>
    <w:rsid w:val="69250EA0"/>
    <w:rsid w:val="697A0C04"/>
    <w:rsid w:val="69973C5F"/>
    <w:rsid w:val="69C32AE9"/>
    <w:rsid w:val="6A3A09F1"/>
    <w:rsid w:val="6A5A554E"/>
    <w:rsid w:val="6A873AF5"/>
    <w:rsid w:val="6A904C4E"/>
    <w:rsid w:val="6ADB0956"/>
    <w:rsid w:val="6B62730B"/>
    <w:rsid w:val="6BE77F41"/>
    <w:rsid w:val="6BFF1B0D"/>
    <w:rsid w:val="6C03651C"/>
    <w:rsid w:val="6C1F4EFF"/>
    <w:rsid w:val="6C452D17"/>
    <w:rsid w:val="6C9128A5"/>
    <w:rsid w:val="6CA170D0"/>
    <w:rsid w:val="6CBB1DC1"/>
    <w:rsid w:val="6CD95A35"/>
    <w:rsid w:val="6D634E2E"/>
    <w:rsid w:val="6D6B7E63"/>
    <w:rsid w:val="6DEA617D"/>
    <w:rsid w:val="6E00401D"/>
    <w:rsid w:val="6E030D72"/>
    <w:rsid w:val="6E4E42A0"/>
    <w:rsid w:val="6E5E4718"/>
    <w:rsid w:val="6EDF66B6"/>
    <w:rsid w:val="6F0E383B"/>
    <w:rsid w:val="6F171B8C"/>
    <w:rsid w:val="6F1E772E"/>
    <w:rsid w:val="6F215111"/>
    <w:rsid w:val="6FBA41C8"/>
    <w:rsid w:val="6FCC35C1"/>
    <w:rsid w:val="70473A81"/>
    <w:rsid w:val="70BE5A3E"/>
    <w:rsid w:val="70FD4DB9"/>
    <w:rsid w:val="714E6640"/>
    <w:rsid w:val="717A0A2A"/>
    <w:rsid w:val="71A04426"/>
    <w:rsid w:val="71A4067A"/>
    <w:rsid w:val="71A757B0"/>
    <w:rsid w:val="71D34AFB"/>
    <w:rsid w:val="72071926"/>
    <w:rsid w:val="727A4A55"/>
    <w:rsid w:val="729E58AA"/>
    <w:rsid w:val="73117121"/>
    <w:rsid w:val="734C45CF"/>
    <w:rsid w:val="735A78E3"/>
    <w:rsid w:val="737D4C8E"/>
    <w:rsid w:val="73AF0D0A"/>
    <w:rsid w:val="73CE79D2"/>
    <w:rsid w:val="741C1A9F"/>
    <w:rsid w:val="74331570"/>
    <w:rsid w:val="744C596D"/>
    <w:rsid w:val="74682D09"/>
    <w:rsid w:val="74B04F17"/>
    <w:rsid w:val="74C33888"/>
    <w:rsid w:val="752F44C6"/>
    <w:rsid w:val="759F55B1"/>
    <w:rsid w:val="75AF740A"/>
    <w:rsid w:val="75C02FF6"/>
    <w:rsid w:val="75D20D65"/>
    <w:rsid w:val="760C67D6"/>
    <w:rsid w:val="7689474A"/>
    <w:rsid w:val="76943507"/>
    <w:rsid w:val="76CE495F"/>
    <w:rsid w:val="771248E0"/>
    <w:rsid w:val="77600145"/>
    <w:rsid w:val="778D26B7"/>
    <w:rsid w:val="78136031"/>
    <w:rsid w:val="78804E78"/>
    <w:rsid w:val="78A44BB1"/>
    <w:rsid w:val="78DE4B86"/>
    <w:rsid w:val="78F7342E"/>
    <w:rsid w:val="79085D2D"/>
    <w:rsid w:val="79106E11"/>
    <w:rsid w:val="793044F8"/>
    <w:rsid w:val="793212FB"/>
    <w:rsid w:val="79CC44BF"/>
    <w:rsid w:val="7A2E1B55"/>
    <w:rsid w:val="7A5A5CA9"/>
    <w:rsid w:val="7A61084E"/>
    <w:rsid w:val="7A857BA4"/>
    <w:rsid w:val="7AD90B77"/>
    <w:rsid w:val="7B4140F1"/>
    <w:rsid w:val="7C333781"/>
    <w:rsid w:val="7C4D7670"/>
    <w:rsid w:val="7C69202E"/>
    <w:rsid w:val="7CE12BEC"/>
    <w:rsid w:val="7D3D6AFD"/>
    <w:rsid w:val="7D4D141D"/>
    <w:rsid w:val="7D565452"/>
    <w:rsid w:val="7DA31649"/>
    <w:rsid w:val="7DA61FE4"/>
    <w:rsid w:val="7DC96588"/>
    <w:rsid w:val="7DE57101"/>
    <w:rsid w:val="7DEF7FBD"/>
    <w:rsid w:val="7E5F351B"/>
    <w:rsid w:val="7E7E43F7"/>
    <w:rsid w:val="7EA64C40"/>
    <w:rsid w:val="7EB25DE8"/>
    <w:rsid w:val="7EC15915"/>
    <w:rsid w:val="7EC97134"/>
    <w:rsid w:val="7EEF08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fontstyle01"/>
    <w:basedOn w:val="9"/>
    <w:qFormat/>
    <w:uiPriority w:val="0"/>
    <w:rPr>
      <w:rFonts w:ascii="宋体" w:hAnsi="宋体" w:eastAsia="宋体" w:cs="宋体"/>
      <w:color w:val="3D3D3D"/>
      <w:sz w:val="16"/>
      <w:szCs w:val="16"/>
    </w:rPr>
  </w:style>
  <w:style w:type="character" w:customStyle="1" w:styleId="11">
    <w:name w:val="页码1"/>
    <w:basedOn w:val="9"/>
    <w:qFormat/>
    <w:uiPriority w:val="0"/>
  </w:style>
  <w:style w:type="character" w:customStyle="1" w:styleId="12">
    <w:name w:val="批注框文本 Char"/>
    <w:basedOn w:val="9"/>
    <w:link w:val="3"/>
    <w:qFormat/>
    <w:uiPriority w:val="0"/>
    <w:rPr>
      <w:rFonts w:ascii="Calibri" w:hAnsi="Calibri" w:cs="黑体"/>
      <w:kern w:val="2"/>
      <w:sz w:val="18"/>
      <w:szCs w:val="18"/>
    </w:rPr>
  </w:style>
  <w:style w:type="paragraph" w:customStyle="1" w:styleId="13">
    <w:name w:val="样式1"/>
    <w:basedOn w:val="1"/>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912397-5658-46A8-B09C-9E98E607EE53}">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 Name</Company>
  <Pages>6</Pages>
  <Words>1006</Words>
  <Characters>5735</Characters>
  <Lines>47</Lines>
  <Paragraphs>13</Paragraphs>
  <TotalTime>2</TotalTime>
  <ScaleCrop>false</ScaleCrop>
  <LinksUpToDate>false</LinksUpToDate>
  <CharactersWithSpaces>6728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2018-07-18T07:16:00Z</dcterms:created>
  <dc:creator>zrc</dc:creator>
  <cp:lastModifiedBy>葱油拌面不要葱</cp:lastModifiedBy>
  <cp:lastPrinted>2018-07-17T07:34:00Z</cp:lastPrinted>
  <dcterms:modified xsi:type="dcterms:W3CDTF">2021-02-22T06:49:01Z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